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 w:before="0" w:line="259" w:lineRule="auto"/>
        <w:jc w:val="center"/>
      </w:pPr>
      <w:r>
        <w:rPr>
          <w:b/>
          <w:color w:val="193B32"/>
          <w:sz w:val="46"/>
        </w:rPr>
        <w:t>LivePlay Lab</w:t>
      </w:r>
    </w:p>
    <w:p>
      <w:pPr>
        <w:spacing w:after="160" w:before="0" w:line="259" w:lineRule="auto"/>
        <w:jc w:val="center"/>
      </w:pPr>
      <w:r>
        <w:rPr>
          <w:color w:val="50665E"/>
          <w:sz w:val="21"/>
        </w:rPr>
        <w:t>直播互动玩法生成与评测工作台｜独立产品作品集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338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项目角色</w:t>
            </w:r>
          </w:p>
        </w:tc>
        <w:tc>
          <w:tcPr>
            <w:tcW w:type="dxa" w:w="3672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交付物</w:t>
            </w:r>
          </w:p>
        </w:tc>
        <w:tc>
          <w:tcPr>
            <w:tcW w:type="dxa" w:w="3312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版本状态</w:t>
            </w:r>
          </w:p>
        </w:tc>
      </w:tr>
      <w:tr>
        <w:trPr>
          <w:cantSplit/>
        </w:trPr>
        <w:tc>
          <w:tcPr>
            <w:tcW w:type="dxa" w:w="3384"/>
            <w:vAlign w:val="center"/>
          </w:tcPr>
          <w:p>
            <w:pPr>
              <w:spacing w:after="0" w:before="0" w:line="259" w:lineRule="auto"/>
            </w:pPr>
            <w:r>
              <w:t>独立产品实践者：产品定义、规则设计、React 原型、评测设计、研究操作包</w:t>
            </w:r>
          </w:p>
        </w:tc>
        <w:tc>
          <w:tcPr>
            <w:tcW w:type="dxa" w:w="3672"/>
            <w:vAlign w:val="center"/>
          </w:tcPr>
          <w:p>
            <w:pPr>
              <w:spacing w:after="0" w:before="0" w:line="259" w:lineRule="auto"/>
            </w:pPr>
            <w:r>
              <w:t>MVP PRD、可运行 Demo、3 个模板、50 条评测、研究与录屏材料</w:t>
            </w:r>
          </w:p>
        </w:tc>
        <w:tc>
          <w:tcPr>
            <w:tcW w:type="dxa" w:w="3312"/>
            <w:vAlign w:val="center"/>
          </w:tcPr>
          <w:p>
            <w:pPr>
              <w:spacing w:after="0" w:before="0" w:line="259" w:lineRule="auto"/>
            </w:pPr>
            <w:r>
              <w:t>MVP 已实现；真实访谈、无引导测试、模型评测和 V2 数据待执行</w:t>
            </w:r>
          </w:p>
        </w:tc>
      </w:tr>
    </w:tbl>
    <w:p>
      <w:pPr>
        <w:pStyle w:val="Heading1"/>
        <w:spacing w:after="60" w:before="120" w:line="259" w:lineRule="auto"/>
      </w:pPr>
      <w:r>
        <w:t>01｜项目概述</w:t>
      </w:r>
    </w:p>
    <w:p>
      <w:pPr>
        <w:spacing w:after="40" w:before="0" w:line="259" w:lineRule="auto"/>
      </w:pPr>
      <w:r>
        <w:t>LivePlay Lab 面向直播与校园活动组织者：把主题、目标、受众、时长和边界转成可执行玩法，并在浏览器中呈现可点击的互动微应用。产品进一步把生成质量放进 Promptfoo 评测，避免只凭“文案像不像”判断 Coding Agent。</w:t>
      </w:r>
    </w:p>
    <w:p>
      <w:pPr>
        <w:spacing w:after="40" w:before="0" w:line="259" w:lineRule="auto"/>
      </w:pPr>
      <w:r>
        <w:t>核心问题：玩法策划往往止于文本；AI 输出难以证明能跑通，也难以说明失败出在需求理解、代码状态还是自验证。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5227"/>
        <w:gridCol w:w="5227"/>
      </w:tblGrid>
      <w:tr>
        <w:trPr>
          <w:cantSplit/>
        </w:trPr>
        <w:tc>
          <w:tcPr>
            <w:tcW w:type="dxa" w:w="158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设计层</w:t>
            </w:r>
          </w:p>
        </w:tc>
        <w:tc>
          <w:tcPr>
            <w:tcW w:type="dxa" w:w="878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产品回答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59" w:lineRule="auto"/>
            </w:pPr>
            <w:r>
              <w:t>规则层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 w:line="259" w:lineRule="auto"/>
            </w:pPr>
            <w:r>
              <w:t>三种模板将玩法拆为触发条件、参与动作、即时反馈和体验边界。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59" w:lineRule="auto"/>
            </w:pPr>
            <w:r>
              <w:t>体验层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 w:line="259" w:lineRule="auto"/>
            </w:pPr>
            <w:r>
              <w:t>右侧浏览器微应用真实响应点击，并验证一次性提交与状态反馈。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59" w:lineRule="auto"/>
            </w:pPr>
            <w:r>
              <w:t>可靠性层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 w:line="259" w:lineRule="auto"/>
            </w:pPr>
            <w:r>
              <w:t>50 条任务覆盖需求理解、代码生成、自验证、安全与体验。</w:t>
            </w:r>
          </w:p>
        </w:tc>
      </w:tr>
      <w:tr>
        <w:trPr>
          <w:cantSplit/>
        </w:trPr>
        <w:tc>
          <w:tcPr>
            <w:tcW w:type="dxa" w:w="1584"/>
            <w:vAlign w:val="center"/>
          </w:tcPr>
          <w:p>
            <w:pPr>
              <w:spacing w:after="0" w:before="0" w:line="259" w:lineRule="auto"/>
            </w:pPr>
            <w:r>
              <w:t>证据层</w:t>
            </w:r>
          </w:p>
        </w:tc>
        <w:tc>
          <w:tcPr>
            <w:tcW w:type="dxa" w:w="8784"/>
            <w:vAlign w:val="center"/>
          </w:tcPr>
          <w:p>
            <w:pPr>
              <w:spacing w:after="0" w:before="0" w:line="259" w:lineRule="auto"/>
            </w:pPr>
            <w:r>
              <w:t>研究记录和评测结果只有在真实执行后才回填，避免伪造样本或指标。</w:t>
            </w:r>
          </w:p>
        </w:tc>
      </w:tr>
    </w:tbl>
    <w:p>
      <w:pPr>
        <w:pStyle w:val="Heading1"/>
        <w:spacing w:after="60" w:before="120" w:line="259" w:lineRule="auto"/>
      </w:pPr>
      <w:r>
        <w:t>02｜产品方案与流程</w:t>
      </w:r>
    </w:p>
    <w:p>
      <w:pPr>
        <w:pStyle w:val="ListBullet"/>
        <w:spacing w:after="0" w:before="0" w:line="259" w:lineRule="auto"/>
      </w:pPr>
      <w:r>
        <w:t>玩法工作台：填写 Brief，选择关键词拼图、限时真知题或任务接力赛；生成规则、口播、实现 Brief 和风险点。</w:t>
      </w:r>
    </w:p>
    <w:p>
      <w:pPr>
        <w:pStyle w:val="ListBullet"/>
        <w:spacing w:after="0" w:before="0" w:line="259" w:lineRule="auto"/>
      </w:pPr>
      <w:r>
        <w:t>本地优先：未配置模型时依然生成结构化可运行草案；模型接口异常时回退到本地方案，保留用户输入。</w:t>
      </w:r>
    </w:p>
    <w:p>
      <w:pPr>
        <w:pStyle w:val="ListBullet"/>
        <w:spacing w:after="0" w:before="0" w:line="259" w:lineRule="auto"/>
      </w:pPr>
      <w:r>
        <w:t>模型 API：支持 OpenAI-compatible chat-completions，通过本机代理调用；Key 只存在当前会话或本机 .env。</w:t>
      </w:r>
    </w:p>
    <w:p>
      <w:pPr>
        <w:pStyle w:val="ListBullet"/>
        <w:spacing w:after="0" w:before="0" w:line="259" w:lineRule="auto"/>
      </w:pPr>
      <w:r>
        <w:t>模板与 Remix：将改过的规则保存为本机变体，刷新后可恢复，不存储密钥或真实用户资料。</w:t>
      </w:r>
    </w:p>
    <w:p>
      <w:pPr>
        <w:pStyle w:val="ListBullet"/>
        <w:spacing w:after="0" w:before="0" w:line="259" w:lineRule="auto"/>
      </w:pPr>
      <w:r>
        <w:t>评测与研究：界面显示 50 条任务和 5+5 个研究位置；“已复核”和“待执行”严格区分。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656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主路径</w:t>
            </w:r>
          </w:p>
        </w:tc>
        <w:tc>
          <w:tcPr>
            <w:tcW w:type="dxa" w:w="3600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用户动作</w:t>
            </w:r>
          </w:p>
        </w:tc>
        <w:tc>
          <w:tcPr>
            <w:tcW w:type="dxa" w:w="5112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系统反馈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9" w:lineRule="auto"/>
            </w:pPr>
            <w:r>
              <w:t>1. 定义问题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填写主题、目标、受众、时长、边界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59" w:lineRule="auto"/>
            </w:pPr>
            <w:r>
              <w:t>对缺失主题/目标给出明确提示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9" w:lineRule="auto"/>
            </w:pPr>
            <w:r>
              <w:t>2. 选择规则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选择一个模板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59" w:lineRule="auto"/>
            </w:pPr>
            <w:r>
              <w:t>显示规则摘要并同步微应用皮肤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9" w:lineRule="auto"/>
            </w:pPr>
            <w:r>
              <w:t>3. 生成方案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选择本地或模型模式并生成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59" w:lineRule="auto"/>
            </w:pPr>
            <w:r>
              <w:t>输出结构化候选方案；模型失败回退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9" w:lineRule="auto"/>
            </w:pPr>
            <w:r>
              <w:t>4. 试跑玩法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点击主互动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59" w:lineRule="auto"/>
            </w:pPr>
            <w:r>
              <w:t>锁定重复提交，显示积分或全场进度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spacing w:after="0" w:before="0" w:line="259" w:lineRule="auto"/>
            </w:pPr>
            <w:r>
              <w:t>5. 沉淀证据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保存 Remix、复核用例、执行研究</w:t>
            </w:r>
          </w:p>
        </w:tc>
        <w:tc>
          <w:tcPr>
            <w:tcW w:type="dxa" w:w="5112"/>
            <w:vAlign w:val="center"/>
          </w:tcPr>
          <w:p>
            <w:pPr>
              <w:spacing w:after="0" w:before="0" w:line="259" w:lineRule="auto"/>
            </w:pPr>
            <w:r>
              <w:t>本机保存规则；研究与评测只记录真实结果</w:t>
            </w:r>
          </w:p>
        </w:tc>
      </w:tr>
    </w:tbl>
    <w:p>
      <w:pPr>
        <w:pStyle w:val="Heading1"/>
        <w:spacing w:after="60" w:before="120" w:line="259" w:lineRule="auto"/>
      </w:pPr>
      <w:r>
        <w:t>03｜PRD 关键判断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194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决定</w:t>
            </w:r>
          </w:p>
        </w:tc>
        <w:tc>
          <w:tcPr>
            <w:tcW w:type="dxa" w:w="482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理由</w:t>
            </w:r>
          </w:p>
        </w:tc>
        <w:tc>
          <w:tcPr>
            <w:tcW w:type="dxa" w:w="3600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验收方式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9" w:lineRule="auto"/>
            </w:pPr>
            <w:r>
              <w:t>不做真实平台接入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59" w:lineRule="auto"/>
            </w:pPr>
            <w:r>
              <w:t>MVP 先验证玩法和 Agent 产物闭环，避免账户、支付、隐私和平台依赖掩盖核心问题。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代码和 UI 不出现平台授权、真实数据或品牌仿冒。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9" w:lineRule="auto"/>
            </w:pPr>
            <w:r>
              <w:t>默认本地生成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59" w:lineRule="auto"/>
            </w:pPr>
            <w:r>
              <w:t>作品集 Demo 需要无 Key、无网络也可展示。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离线启动后可完成 Brief -&gt; 方案 -&gt; 微应用。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9" w:lineRule="auto"/>
            </w:pPr>
            <w:r>
              <w:t>模板先于自由生成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59" w:lineRule="auto"/>
            </w:pPr>
            <w:r>
              <w:t>先给用户可解释约束，降低黑盒感，也便于复用。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三模板的规则、适用场景和预览状态都可见。</w:t>
            </w:r>
          </w:p>
        </w:tc>
      </w:tr>
      <w:tr>
        <w:trPr>
          <w:cantSplit/>
        </w:trPr>
        <w:tc>
          <w:tcPr>
            <w:tcW w:type="dxa" w:w="1944"/>
            <w:vAlign w:val="center"/>
          </w:tcPr>
          <w:p>
            <w:pPr>
              <w:spacing w:after="0" w:before="0" w:line="259" w:lineRule="auto"/>
            </w:pPr>
            <w:r>
              <w:t>失败分类进入产品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59" w:lineRule="auto"/>
            </w:pPr>
            <w:r>
              <w:t>Agent 质量需要定位而非只看最终文本。</w:t>
            </w:r>
          </w:p>
        </w:tc>
        <w:tc>
          <w:tcPr>
            <w:tcW w:type="dxa" w:w="3600"/>
            <w:vAlign w:val="center"/>
          </w:tcPr>
          <w:p>
            <w:pPr>
              <w:spacing w:after="0" w:before="0" w:line="259" w:lineRule="auto"/>
            </w:pPr>
            <w:r>
              <w:t>50 条 Promptfoo 用例和人工复核字段可追溯。</w:t>
            </w:r>
          </w:p>
        </w:tc>
      </w:tr>
    </w:tbl>
    <w:p>
      <w:pPr>
        <w:pStyle w:val="Heading1"/>
        <w:spacing w:after="60" w:before="120" w:line="259" w:lineRule="auto"/>
      </w:pPr>
      <w:r>
        <w:t>04｜六周工作计划与工作日志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613"/>
        <w:gridCol w:w="2613"/>
        <w:gridCol w:w="2613"/>
        <w:gridCol w:w="2613"/>
      </w:tblGrid>
      <w:tr>
        <w:trPr>
          <w:cantSplit/>
        </w:trPr>
        <w:tc>
          <w:tcPr>
            <w:tcW w:type="dxa" w:w="1080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周次</w:t>
            </w:r>
          </w:p>
        </w:tc>
        <w:tc>
          <w:tcPr>
            <w:tcW w:type="dxa" w:w="2088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目标</w:t>
            </w:r>
          </w:p>
        </w:tc>
        <w:tc>
          <w:tcPr>
            <w:tcW w:type="dxa" w:w="4608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已产出 / 待执行</w:t>
            </w:r>
          </w:p>
        </w:tc>
        <w:tc>
          <w:tcPr>
            <w:tcW w:type="dxa" w:w="2592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反思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 w:line="259" w:lineRule="auto"/>
            </w:pPr>
            <w:r>
              <w:t>第 1 周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59" w:lineRule="auto"/>
            </w:pPr>
            <w:r>
              <w:t>访谈与竞品拆解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59" w:lineRule="auto"/>
            </w:pPr>
            <w:r>
              <w:t>研究包、招募与记录模板已完成；5 位真实访谈待执行。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59" w:lineRule="auto"/>
            </w:pPr>
            <w:r>
              <w:t>没有原始记录，不将假设写成洞察。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 w:line="259" w:lineRule="auto"/>
            </w:pPr>
            <w:r>
              <w:t>第 2 周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59" w:lineRule="auto"/>
            </w:pPr>
            <w:r>
              <w:t>MVP PRD、流程、三模板规则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59" w:lineRule="auto"/>
            </w:pPr>
            <w:r>
              <w:t>PRD、Figma 复画说明、三套规则已完成。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59" w:lineRule="auto"/>
            </w:pPr>
            <w:r>
              <w:t>规则必须能映射到可观察的界面状态。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 w:line="259" w:lineRule="auto"/>
            </w:pPr>
            <w:r>
              <w:t>第 3 周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59" w:lineRule="auto"/>
            </w:pPr>
            <w:r>
              <w:t>Coding Agent 可运行 Demo 与模型 API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59" w:lineRule="auto"/>
            </w:pPr>
            <w:r>
              <w:t>React Demo、本地生成、Remix、本机 API 代理已完成；真实 Key 调用待验证。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59" w:lineRule="auto"/>
            </w:pPr>
            <w:r>
              <w:t>本地回退让 Demo 不依赖外部服务。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 w:line="259" w:lineRule="auto"/>
            </w:pPr>
            <w:r>
              <w:t>第 4 周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59" w:lineRule="auto"/>
            </w:pPr>
            <w:r>
              <w:t>Promptfoo 50 条任务与失败分类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59" w:lineRule="auto"/>
            </w:pPr>
            <w:r>
              <w:t>配置与四类分类已完成；真实运行与人工复核待执行。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59" w:lineRule="auto"/>
            </w:pPr>
            <w:r>
              <w:t>没有原始报告，不报告通过率。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 w:line="259" w:lineRule="auto"/>
            </w:pPr>
            <w:r>
              <w:t>第 5 周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59" w:lineRule="auto"/>
            </w:pPr>
            <w:r>
              <w:t>5 名新用户无引导测试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59" w:lineRule="auto"/>
            </w:pPr>
            <w:r>
              <w:t>任务卡、观察表、分析框架已完成；测试待执行。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59" w:lineRule="auto"/>
            </w:pPr>
            <w:r>
              <w:t>观察员提示会污染结果。</w:t>
            </w:r>
          </w:p>
        </w:tc>
      </w:tr>
      <w:tr>
        <w:trPr>
          <w:cantSplit/>
        </w:trPr>
        <w:tc>
          <w:tcPr>
            <w:tcW w:type="dxa" w:w="1080"/>
            <w:vAlign w:val="center"/>
          </w:tcPr>
          <w:p>
            <w:pPr>
              <w:spacing w:after="0" w:before="0" w:line="259" w:lineRule="auto"/>
            </w:pPr>
            <w:r>
              <w:t>第 6 周</w:t>
            </w:r>
          </w:p>
        </w:tc>
        <w:tc>
          <w:tcPr>
            <w:tcW w:type="dxa" w:w="2088"/>
            <w:vAlign w:val="center"/>
          </w:tcPr>
          <w:p>
            <w:pPr>
              <w:spacing w:after="0" w:before="0" w:line="259" w:lineRule="auto"/>
            </w:pPr>
            <w:r>
              <w:t>V2、复盘、录屏、作品集</w:t>
            </w:r>
          </w:p>
        </w:tc>
        <w:tc>
          <w:tcPr>
            <w:tcW w:type="dxa" w:w="4608"/>
            <w:vAlign w:val="center"/>
          </w:tcPr>
          <w:p>
            <w:pPr>
              <w:spacing w:after="0" w:before="0" w:line="259" w:lineRule="auto"/>
            </w:pPr>
            <w:r>
              <w:t>作品集和录屏脚本已完成；V2 需由真实证据驱动。</w:t>
            </w:r>
          </w:p>
        </w:tc>
        <w:tc>
          <w:tcPr>
            <w:tcW w:type="dxa" w:w="2592"/>
            <w:vAlign w:val="center"/>
          </w:tcPr>
          <w:p>
            <w:pPr>
              <w:spacing w:after="0" w:before="0" w:line="259" w:lineRule="auto"/>
            </w:pPr>
            <w:r>
              <w:t>结论和证据必须一一对应。</w:t>
            </w:r>
          </w:p>
        </w:tc>
      </w:tr>
    </w:tbl>
    <w:p>
      <w:pPr>
        <w:pStyle w:val="Heading1"/>
        <w:spacing w:after="60" w:before="120" w:line="259" w:lineRule="auto"/>
      </w:pPr>
      <w:r>
        <w:t>05｜工具使用与复现方法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485"/>
        <w:gridCol w:w="3485"/>
        <w:gridCol w:w="3485"/>
      </w:tblGrid>
      <w:tr>
        <w:trPr>
          <w:cantSplit/>
        </w:trPr>
        <w:tc>
          <w:tcPr>
            <w:tcW w:type="dxa" w:w="230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工具</w:t>
            </w:r>
          </w:p>
        </w:tc>
        <w:tc>
          <w:tcPr>
            <w:tcW w:type="dxa" w:w="4320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作用</w:t>
            </w:r>
          </w:p>
        </w:tc>
        <w:tc>
          <w:tcPr>
            <w:tcW w:type="dxa" w:w="3744"/>
            <w:shd w:fill="DDEFE4"/>
            <w:vAlign w:val="center"/>
          </w:tcPr>
          <w:p>
            <w:pPr>
              <w:spacing w:after="0" w:before="0" w:line="259" w:lineRule="auto"/>
            </w:pPr>
            <w:r>
              <w:rPr>
                <w:b/>
              </w:rPr>
              <w:t>使用边界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59" w:lineRule="auto"/>
            </w:pPr>
            <w:r>
              <w:t>React + TypeScript + Vite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9" w:lineRule="auto"/>
            </w:pPr>
            <w:r>
              <w:t>搭建工作台、交互状态和响应式微应用。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59" w:lineRule="auto"/>
            </w:pPr>
            <w:r>
              <w:t>交付代码不连接真实平台。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59" w:lineRule="auto"/>
            </w:pPr>
            <w:r>
              <w:t>Node.js 本机服务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9" w:lineRule="auto"/>
            </w:pPr>
            <w:r>
              <w:t>代理 OpenAI-compatible 模型请求。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59" w:lineRule="auto"/>
            </w:pPr>
            <w:r>
              <w:t>不日志化 Key；.env 不入库。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59" w:lineRule="auto"/>
            </w:pPr>
            <w:r>
              <w:t>Promptfoo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9" w:lineRule="auto"/>
            </w:pPr>
            <w:r>
              <w:t>配置 50 条回归任务与 LLM rubric。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59" w:lineRule="auto"/>
            </w:pPr>
            <w:r>
              <w:t>真实运行后再输出结果和失败率。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59" w:lineRule="auto"/>
            </w:pPr>
            <w:r>
              <w:t>Markdown / Mermaid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9" w:lineRule="auto"/>
            </w:pPr>
            <w:r>
              <w:t>PRD、流程、研究包和工作日志。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59" w:lineRule="auto"/>
            </w:pPr>
            <w:r>
              <w:t>文档中的待执行状态不替换为结论。</w:t>
            </w:r>
          </w:p>
        </w:tc>
      </w:tr>
      <w:tr>
        <w:trPr>
          <w:cantSplit/>
        </w:trPr>
        <w:tc>
          <w:tcPr>
            <w:tcW w:type="dxa" w:w="2304"/>
            <w:vAlign w:val="center"/>
          </w:tcPr>
          <w:p>
            <w:pPr>
              <w:spacing w:after="0" w:before="0" w:line="259" w:lineRule="auto"/>
            </w:pPr>
            <w:r>
              <w:t>浏览器自动化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9" w:lineRule="auto"/>
            </w:pPr>
            <w:r>
              <w:t>构建后检查主路径、桌面与移动布局。</w:t>
            </w:r>
          </w:p>
        </w:tc>
        <w:tc>
          <w:tcPr>
            <w:tcW w:type="dxa" w:w="3744"/>
            <w:vAlign w:val="center"/>
          </w:tcPr>
          <w:p>
            <w:pPr>
              <w:spacing w:after="0" w:before="0" w:line="259" w:lineRule="auto"/>
            </w:pPr>
            <w:r>
              <w:t>截图仅展示演示数据。</w:t>
            </w:r>
          </w:p>
        </w:tc>
      </w:tr>
    </w:tbl>
    <w:p>
      <w:pPr>
        <w:spacing w:after="40" w:before="0" w:line="259" w:lineRule="auto"/>
      </w:pPr>
      <w:r>
        <w:rPr>
          <w:b/>
        </w:rPr>
        <w:t>复现：</w:t>
      </w:r>
      <w:r>
        <w:t>在项目根目录运行 npm install、npm run dev；执行 npm run test、npm run lint、npm run build。模型调用需要另开终端运行 npm run server，并在界面会话或本机 .env 填写兼容端点与 Key。</w:t>
      </w:r>
    </w:p>
    <w:p>
      <w:pPr>
        <w:pStyle w:val="Heading1"/>
        <w:spacing w:after="60" w:before="120" w:line="259" w:lineRule="auto"/>
      </w:pPr>
      <w:r>
        <w:t>06｜研究与评测计划（未执行部分）</w:t>
      </w:r>
    </w:p>
    <w:p>
      <w:pPr>
        <w:spacing w:after="40" w:before="0" w:line="259" w:lineRule="auto"/>
      </w:pPr>
      <w:r>
        <w:t>第 1 周招募 5 名有直播或活动组织经验的人，使用 30 分钟半结构访谈理解玩法如何从想法走到现场。第 5 周招募 5 名新用户，在不提示的情况下完成“选择模板 -&gt; 生成 -&gt; 预览 -&gt; 保存 Remix”。每次观察要区分原话、事实和研究者解释。</w:t>
      </w:r>
    </w:p>
    <w:p>
      <w:pPr>
        <w:spacing w:after="40" w:before="0" w:line="259" w:lineRule="auto"/>
      </w:pPr>
      <w:r>
        <w:t>评测使用 50 条 Promptfoo 用例。每条需要记录模型、提示版本、原始输出、人工复核、失败编码和修复假设。无论是用户研究还是模型评测，执行前都不得在作品集中填“完成率”“提升率”或虚构反馈。</w:t>
      </w:r>
    </w:p>
    <w:p>
      <w:pPr>
        <w:pStyle w:val="Heading1"/>
        <w:spacing w:after="60" w:before="120" w:line="259" w:lineRule="auto"/>
      </w:pPr>
      <w:r>
        <w:t>07｜下一步与面试表达</w:t>
      </w:r>
    </w:p>
    <w:p>
      <w:pPr>
        <w:pStyle w:val="ListBullet"/>
        <w:spacing w:after="0" w:before="0" w:line="259" w:lineRule="auto"/>
      </w:pPr>
      <w:r>
        <w:t>先完成 5+5 真实研究，按严重度和频次形成 V2 backlog。</w:t>
      </w:r>
    </w:p>
    <w:p>
      <w:pPr>
        <w:pStyle w:val="ListBullet"/>
        <w:spacing w:after="0" w:before="0" w:line="259" w:lineRule="auto"/>
      </w:pPr>
      <w:r>
        <w:t>使用目标模型跑完 50 条评测，优先处理安全与主路径严重失败，并保留前后对比。</w:t>
      </w:r>
    </w:p>
    <w:p>
      <w:pPr>
        <w:pStyle w:val="ListBullet"/>
        <w:spacing w:after="0" w:before="0" w:line="259" w:lineRule="auto"/>
      </w:pPr>
      <w:r>
        <w:t>录制 5 分钟演示：展示 Brief、模板、可点击状态、失败回退、评测和研究边界。</w:t>
      </w:r>
    </w:p>
    <w:p>
      <w:pPr>
        <w:pStyle w:val="ListBullet"/>
        <w:spacing w:after="0" w:before="0" w:line="259" w:lineRule="auto"/>
      </w:pPr>
      <w:r>
        <w:t>面试时从“如何把 AI 输出变成可验证产品”讲起：约束输入、规则化生成、可运行原型、失败分类、真实研究闭环。</w:t>
      </w:r>
    </w:p>
    <w:p>
      <w:pPr>
        <w:spacing w:after="40" w:before="0" w:line="259" w:lineRule="auto"/>
      </w:pPr>
      <w:r>
        <w:t>项目材料：README、PRD、Figma 流程、研究包、评测方案、六周工作日志、操作手册、演示脚本均位于仓库 docs/ 目录。</w:t>
      </w:r>
    </w:p>
    <w:sectPr w:rsidR="00FC693F" w:rsidRPr="0006063C" w:rsidSect="00034616">
      <w:pgSz w:w="12240" w:h="15840"/>
      <w:pgMar w:top="792" w:right="893" w:bottom="792" w:left="89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6F5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6F55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193B32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sz w:val="1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