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432" w:leftChars="0" w:hanging="432" w:firstLineChars="0"/>
        <w:rPr>
          <w:rFonts w:hint="eastAsia"/>
        </w:rPr>
      </w:pPr>
      <w:r>
        <w:rPr>
          <w:rFonts w:hint="eastAsia"/>
        </w:rPr>
        <w:t>漏洞细节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420" w:firstLineChars="0"/>
        <w:textAlignment w:val="auto"/>
        <w:outlineLvl w:val="9"/>
        <w:rPr>
          <w:rFonts w:hint="eastAsia"/>
        </w:rPr>
      </w:pPr>
      <w:r>
        <w:rPr>
          <w:rFonts w:hint="eastAsia"/>
        </w:rPr>
        <w:t>以太坊代币交易回执中 status 字段是 0x1(true) 还是 0x0(false)，取决于交易事务执行过程中是否抛出了异常（比如使用了 require/assert/revert/throw 等机制）。当用户调用代币合约的 transfer 函数进行转账时，如果 transfer 函数正常运行未抛出异常，该交易的 status 即是 0x1(true)。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/>
        <w:textAlignment w:val="auto"/>
        <w:outlineLvl w:val="9"/>
        <w:rPr>
          <w:rFonts w:hint="eastAsia"/>
        </w:rPr>
      </w:pPr>
      <w:r>
        <w:drawing>
          <wp:inline distT="0" distB="0" distL="114300" distR="114300">
            <wp:extent cx="5273040" cy="1238250"/>
            <wp:effectExtent l="0" t="0" r="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420" w:firstLineChars="0"/>
        <w:textAlignment w:val="auto"/>
        <w:outlineLvl w:val="9"/>
        <w:rPr>
          <w:rFonts w:hint="eastAsia"/>
        </w:rPr>
      </w:pPr>
      <w:r>
        <w:rPr>
          <w:rFonts w:hint="eastAsia"/>
        </w:rPr>
        <w:t>如图代码，某些代币合约的 transfer 函数对转账发起人(msg.sender)的余额检查用的是 if 判断方式，当 balances[msg.sender] &lt; _value 时进入 else 逻辑部分并 return false，最终没有抛出异常，我们认为仅 if/else 这种温和的判断方式在 transfer 这类敏感函数场景中是一种不严谨的编码方式。而大多数代币合约的 transfer 函数会采用 require/assert 方式，如图：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/>
        <w:textAlignment w:val="auto"/>
        <w:outlineLvl w:val="9"/>
        <w:rPr>
          <w:rFonts w:hint="eastAsia"/>
        </w:rPr>
      </w:pPr>
      <w:r>
        <w:drawing>
          <wp:inline distT="0" distB="0" distL="114300" distR="114300">
            <wp:extent cx="5263515" cy="1479550"/>
            <wp:effectExtent l="0" t="0" r="952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420" w:firstLineChars="0"/>
        <w:textAlignment w:val="auto"/>
        <w:outlineLvl w:val="9"/>
        <w:rPr>
          <w:rFonts w:hint="eastAsia"/>
        </w:rPr>
      </w:pPr>
      <w:r>
        <w:rPr>
          <w:rFonts w:hint="eastAsia"/>
        </w:rPr>
        <w:t>当不满足条件时会直接抛出异常，中断合约后续指令的执行，或者也可以使用 EIP 20 推荐的 if/else + revert/throw 函数组合机制来显现抛出异常，如图：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/>
        <w:textAlignment w:val="auto"/>
        <w:outlineLvl w:val="9"/>
        <w:rPr>
          <w:rFonts w:hint="eastAsia"/>
        </w:rPr>
      </w:pPr>
      <w:r>
        <w:drawing>
          <wp:inline distT="0" distB="0" distL="114300" distR="114300">
            <wp:extent cx="5269865" cy="1150620"/>
            <wp:effectExtent l="0" t="0" r="317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420" w:firstLineChars="0"/>
        <w:textAlignment w:val="auto"/>
        <w:outlineLvl w:val="9"/>
        <w:rPr>
          <w:rFonts w:hint="eastAsia"/>
        </w:rPr>
      </w:pPr>
      <w:r>
        <w:rPr>
          <w:rFonts w:hint="eastAsia"/>
        </w:rPr>
        <w:t>我们很难要求所有程序员都能写出最佳安全实践的代码，这种不严谨的编码方式是一种安全缺陷，这种安全缺陷可能会导致特殊场景下的安全问题。攻击者可以利用存在该缺陷的代币合约向中心化交易所、钱包等服务平台发起充值操作，如果交易所仅判断如 TxReceipt Status 是 success（即上文提的 status 为 0x1(true) 的情况） 就以为充币成功，就可能存在“假充值”漏洞。如图：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/>
        <w:textAlignment w:val="auto"/>
        <w:outlineLvl w:val="9"/>
        <w:rPr>
          <w:rFonts w:hint="eastAsia"/>
        </w:rPr>
      </w:pPr>
      <w:r>
        <w:drawing>
          <wp:inline distT="0" distB="0" distL="114300" distR="114300">
            <wp:extent cx="3977640" cy="30435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04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修复方案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firstLine="420" w:firstLineChars="0"/>
        <w:textAlignment w:val="auto"/>
        <w:outlineLvl w:val="9"/>
        <w:rPr>
          <w:rFonts w:hint="eastAsia"/>
        </w:rPr>
      </w:pPr>
      <w:r>
        <w:rPr>
          <w:rFonts w:hint="eastAsia"/>
        </w:rPr>
        <w:t>除了判断交易事务 success 之外，还应二次判断充值钱包地址的 balance 是否准确的增加。其实这个二次判断可以通过 Event 事件日志来进行，很多中心化交易所、钱包等服务平台会通过 Event 事件日志来获取转账额度，以此判断转账的准确性。但这里就需要特别注意合约作恶情况，因为 Event 是可以任意编写的，不是强制默认不可篡改的选项：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       emit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Transfer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(from, to, value); </w:t>
      </w:r>
      <w:r>
        <w:rPr>
          <w:rFonts w:hint="default" w:ascii="Consolas" w:hAnsi="Consolas" w:eastAsia="Consolas" w:cs="Consolas"/>
          <w:b w:val="0"/>
          <w:color w:val="608B4E"/>
          <w:kern w:val="0"/>
          <w:sz w:val="16"/>
          <w:szCs w:val="16"/>
          <w:shd w:val="clear" w:fill="1E1E1E"/>
          <w:lang w:val="en-US" w:eastAsia="zh-CN" w:bidi="ar"/>
        </w:rPr>
        <w:t>// value 等参数可以任意定义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/>
        <w:textAlignment w:val="auto"/>
        <w:outlineLvl w:val="9"/>
        <w:rPr>
          <w:rFonts w:hint="eastAsia"/>
        </w:rPr>
      </w:pPr>
      <w:r>
        <w:rPr>
          <w:rFonts w:hint="eastAsia"/>
        </w:rPr>
        <w:t>作为平台方，在对接新上线的代币合约之前，应该做好严格的安全审计，这种安全审计必须强制代币合约方执行最佳安全实践。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/>
        <w:textAlignment w:val="auto"/>
        <w:outlineLvl w:val="9"/>
        <w:rPr>
          <w:rFonts w:hint="eastAsia"/>
        </w:rPr>
      </w:pPr>
      <w:r>
        <w:rPr>
          <w:rFonts w:hint="eastAsia"/>
        </w:rPr>
        <w:t>作为代币合约方，在编码上，应该严格执行最佳安全实践，并请第三方职业安全审计机构完成严谨完备的安全审计。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摘自：https://mp.weixin.qq.com/s/3cMbE6p_4qCdVLa4FNA5-A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CC2329"/>
    <w:multiLevelType w:val="multilevel"/>
    <w:tmpl w:val="97CC2329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11D88"/>
    <w:rsid w:val="08423471"/>
    <w:rsid w:val="119416EA"/>
    <w:rsid w:val="29E852B1"/>
    <w:rsid w:val="769A4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uiPriority w:val="0"/>
  </w:style>
  <w:style w:type="table" w:default="1" w:styleId="1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Emphasis"/>
    <w:basedOn w:val="12"/>
    <w:qFormat/>
    <w:uiPriority w:val="0"/>
    <w:rPr>
      <w:i/>
    </w:rPr>
  </w:style>
  <w:style w:type="character" w:styleId="15">
    <w:name w:val="Hyperlink"/>
    <w:basedOn w:val="1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冰雪</cp:lastModifiedBy>
  <dcterms:modified xsi:type="dcterms:W3CDTF">2018-07-13T02:28:56Z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