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pageBreakBefore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leftChars="0"/>
        <w:jc w:val="center"/>
        <w:rPr>
          <w:rFonts w:hint="default"/>
          <w:lang w:val="en-US" w:eastAsia="zh-CN"/>
        </w:rPr>
      </w:pPr>
      <w:bookmarkStart w:id="0" w:name="_Toc30000"/>
      <w:r>
        <w:rPr>
          <w:rFonts w:hint="eastAsia"/>
          <w:lang w:val="en-US" w:eastAsia="zh-CN"/>
        </w:rPr>
        <w:t>Fabric多机环境部署</w:t>
      </w:r>
      <w:bookmarkEnd w:id="0"/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4215"/>
        <w15:color w:val="DBDBDB"/>
        <w:docPartObj>
          <w:docPartGallery w:val="Table of Contents"/>
          <w:docPartUnique/>
        </w:docPartObj>
      </w:sdtPr>
      <w:sdtEnd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15" w:name="_GoBack"/>
          <w:bookmarkEnd w:id="15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TOC \o "1-3" \h \u </w:instrText>
          </w:r>
          <w:r>
            <w:fldChar w:fldCharType="separate"/>
          </w:r>
          <w:r>
            <w:fldChar w:fldCharType="begin"/>
          </w:r>
          <w:r>
            <w:instrText xml:space="preserve"> HYPERLINK \l _Toc30000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Fabric多机环境部署</w:t>
          </w:r>
          <w:r>
            <w:tab/>
          </w:r>
          <w:r>
            <w:fldChar w:fldCharType="begin"/>
          </w:r>
          <w:r>
            <w:instrText xml:space="preserve"> PAGEREF _Toc30000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_Toc26837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多机环境部署</w:t>
          </w:r>
          <w:r>
            <w:tab/>
          </w:r>
          <w:r>
            <w:fldChar w:fldCharType="begin"/>
          </w:r>
          <w:r>
            <w:instrText xml:space="preserve"> PAGEREF _Toc26837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_Toc10253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关闭selinux</w:t>
          </w:r>
          <w:r>
            <w:tab/>
          </w:r>
          <w:r>
            <w:fldChar w:fldCharType="begin"/>
          </w:r>
          <w:r>
            <w:instrText xml:space="preserve"> PAGEREF _Toc10253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_Toc21342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关闭防火墙</w:t>
          </w:r>
          <w:r>
            <w:tab/>
          </w:r>
          <w:r>
            <w:fldChar w:fldCharType="begin"/>
          </w:r>
          <w:r>
            <w:instrText xml:space="preserve"> PAGEREF _Toc21342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_Toc12333 </w:instrText>
          </w:r>
          <w:r>
            <w:fldChar w:fldCharType="separate"/>
          </w:r>
          <w:r>
            <w:rPr>
              <w:rFonts w:hint="default"/>
            </w:rPr>
            <w:t>1.3. 配置域名解析</w:t>
          </w:r>
          <w:r>
            <w:tab/>
          </w:r>
          <w:r>
            <w:fldChar w:fldCharType="begin"/>
          </w:r>
          <w:r>
            <w:instrText xml:space="preserve"> PAGEREF _Toc12333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_Toc28784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1.4. </w:t>
          </w:r>
          <w:r>
            <w:rPr>
              <w:rFonts w:hint="eastAsia"/>
              <w:lang w:val="en-US" w:eastAsia="zh-CN"/>
            </w:rPr>
            <w:t>证书配置</w:t>
          </w:r>
          <w:r>
            <w:tab/>
          </w:r>
          <w:r>
            <w:fldChar w:fldCharType="begin"/>
          </w:r>
          <w:r>
            <w:instrText xml:space="preserve"> PAGEREF _Toc28784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_Toc4806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1.5. </w:t>
          </w:r>
          <w:r>
            <w:rPr>
              <w:rFonts w:hint="eastAsia"/>
              <w:lang w:val="en-US" w:eastAsia="zh-CN"/>
            </w:rPr>
            <w:t>通道配置</w:t>
          </w:r>
          <w:r>
            <w:tab/>
          </w:r>
          <w:r>
            <w:fldChar w:fldCharType="begin"/>
          </w:r>
          <w:r>
            <w:instrText xml:space="preserve"> PAGEREF _Toc4806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_Toc3284 </w:instrText>
          </w:r>
          <w:r>
            <w:fldChar w:fldCharType="separate"/>
          </w:r>
          <w:r>
            <w:rPr>
              <w:rFonts w:hint="default"/>
            </w:rPr>
            <w:t xml:space="preserve">1.5.1. </w:t>
          </w:r>
          <w:r>
            <w:t>生成创世区块</w:t>
          </w:r>
          <w:r>
            <w:tab/>
          </w:r>
          <w:r>
            <w:fldChar w:fldCharType="begin"/>
          </w:r>
          <w:r>
            <w:instrText xml:space="preserve"> PAGEREF _Toc3284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_Toc7210 </w:instrText>
          </w:r>
          <w:r>
            <w:fldChar w:fldCharType="separate"/>
          </w:r>
          <w:r>
            <w:rPr>
              <w:rFonts w:hint="default"/>
            </w:rPr>
            <w:t xml:space="preserve">1.5.2. </w:t>
          </w:r>
          <w:r>
            <w:t>生成通道配置区块</w:t>
          </w:r>
          <w:r>
            <w:tab/>
          </w:r>
          <w:r>
            <w:fldChar w:fldCharType="begin"/>
          </w:r>
          <w:r>
            <w:instrText xml:space="preserve"> PAGEREF _Toc7210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_Toc21403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1.5.3. </w:t>
          </w:r>
          <w:r>
            <w:rPr>
              <w:rFonts w:hint="eastAsia"/>
              <w:lang w:val="en-US" w:eastAsia="zh-CN"/>
            </w:rPr>
            <w:t>生成锚节点信息</w:t>
          </w:r>
          <w:r>
            <w:tab/>
          </w:r>
          <w:r>
            <w:fldChar w:fldCharType="begin"/>
          </w:r>
          <w:r>
            <w:instrText xml:space="preserve"> PAGEREF _Toc21403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_Toc8989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1.6. </w:t>
          </w:r>
          <w:r>
            <w:rPr>
              <w:rFonts w:hint="eastAsia"/>
              <w:lang w:val="en-US" w:eastAsia="zh-CN"/>
            </w:rPr>
            <w:t>Docker配置</w:t>
          </w:r>
          <w:r>
            <w:tab/>
          </w:r>
          <w:r>
            <w:fldChar w:fldCharType="begin"/>
          </w:r>
          <w:r>
            <w:instrText xml:space="preserve"> PAGEREF _Toc8989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_Toc8329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1.7. </w:t>
          </w:r>
          <w:r>
            <w:rPr>
              <w:rFonts w:hint="eastAsia"/>
              <w:lang w:val="en-US" w:eastAsia="zh-CN"/>
            </w:rPr>
            <w:t>启动</w:t>
          </w:r>
          <w:r>
            <w:tab/>
          </w:r>
          <w:r>
            <w:fldChar w:fldCharType="begin"/>
          </w:r>
          <w:r>
            <w:instrText xml:space="preserve"> PAGEREF _Toc8329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_Toc15391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1.8. </w:t>
          </w:r>
          <w:r>
            <w:rPr>
              <w:rFonts w:hint="eastAsia"/>
              <w:lang w:val="en-US" w:eastAsia="zh-CN"/>
            </w:rPr>
            <w:t>清空docker环境</w:t>
          </w:r>
          <w:r>
            <w:tab/>
          </w:r>
          <w:r>
            <w:fldChar w:fldCharType="begin"/>
          </w:r>
          <w:r>
            <w:instrText xml:space="preserve"> PAGEREF _Toc15391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_Toc26304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1.9. </w:t>
          </w:r>
          <w:r>
            <w:rPr>
              <w:rFonts w:hint="eastAsia"/>
              <w:lang w:val="en-US" w:eastAsia="zh-CN"/>
            </w:rPr>
            <w:t>附件</w:t>
          </w:r>
          <w:r>
            <w:tab/>
          </w:r>
          <w:r>
            <w:fldChar w:fldCharType="begin"/>
          </w:r>
          <w:r>
            <w:instrText xml:space="preserve"> PAGEREF _Toc26304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_Toc993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1.10. </w:t>
          </w:r>
          <w:r>
            <w:rPr>
              <w:rFonts w:hint="eastAsia"/>
              <w:lang w:val="en-US" w:eastAsia="zh-CN"/>
            </w:rPr>
            <w:t>参考资料</w:t>
          </w:r>
          <w:r>
            <w:tab/>
          </w:r>
          <w:r>
            <w:fldChar w:fldCharType="begin"/>
          </w:r>
          <w:r>
            <w:instrText xml:space="preserve"> PAGEREF _Toc993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r>
            <w:fldChar w:fldCharType="end"/>
          </w:r>
        </w:p>
      </w:sdtContent>
    </w:sdt>
    <w:p>
      <w:pPr>
        <w:pageBreakBefore w:val="0"/>
        <w:kinsoku/>
        <w:wordWrap w:val="0"/>
        <w:overflowPunct/>
        <w:topLinePunct w:val="0"/>
        <w:autoSpaceDE/>
        <w:autoSpaceDN/>
        <w:bidi w:val="0"/>
        <w:adjustRightInd/>
        <w:snapToGrid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pStyle w:val="2"/>
        <w:bidi w:val="0"/>
        <w:rPr>
          <w:rFonts w:hint="default"/>
          <w:lang w:val="en-US" w:eastAsia="zh-CN"/>
        </w:rPr>
      </w:pPr>
      <w:bookmarkStart w:id="1" w:name="_Toc26837"/>
      <w:r>
        <w:rPr>
          <w:rFonts w:hint="eastAsia"/>
          <w:lang w:val="en-US" w:eastAsia="zh-CN"/>
        </w:rPr>
        <w:t>多机环境部署</w:t>
      </w:r>
      <w:bookmarkEnd w:id="1"/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本文档基于fabric1.4.4，在centos上搭建多机环境，fabric镜像和docker环境的安装请参考官方文档。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使用raft共识，3个order，2个组织，每个组织2个peer，raft共识需开启tls。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有3台服务器，docker布局和端口分配方案如下表：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77"/>
        <w:gridCol w:w="2677"/>
        <w:gridCol w:w="26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7" w:type="dxa"/>
          </w:tcPr>
          <w:p>
            <w:pPr>
              <w:pStyle w:val="15"/>
              <w:keepNext w:val="0"/>
              <w:keepLines w:val="0"/>
              <w:widowControl/>
              <w:suppressLineNumbers w:val="0"/>
              <w:spacing w:before="120" w:beforeAutospacing="0" w:after="120" w:afterAutospacing="0"/>
              <w:ind w:right="0"/>
              <w:rPr>
                <w:rFonts w:hint="default" w:ascii="Verdana" w:hAnsi="Verdana" w:cs="Verdana" w:eastAsiaTheme="minorEastAsia"/>
                <w:i w:val="0"/>
                <w:caps w:val="0"/>
                <w:color w:val="000000"/>
                <w:spacing w:val="0"/>
                <w:sz w:val="14"/>
                <w:szCs w:val="14"/>
                <w:vertAlign w:val="baseline"/>
                <w:lang w:val="en-US" w:eastAsia="zh-CN"/>
              </w:rPr>
            </w:pPr>
            <w:r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14"/>
                <w:szCs w:val="14"/>
                <w:vertAlign w:val="baseline"/>
              </w:rPr>
              <w:t>172.16.10.</w:t>
            </w:r>
            <w:r>
              <w:rPr>
                <w:rFonts w:hint="eastAsia" w:ascii="Verdana" w:hAnsi="Verdana" w:cs="Verdana"/>
                <w:i w:val="0"/>
                <w:caps w:val="0"/>
                <w:color w:val="000000"/>
                <w:spacing w:val="0"/>
                <w:sz w:val="14"/>
                <w:szCs w:val="14"/>
                <w:vertAlign w:val="baseline"/>
                <w:lang w:val="en-US" w:eastAsia="zh-CN"/>
              </w:rPr>
              <w:t>112</w:t>
            </w:r>
          </w:p>
        </w:tc>
        <w:tc>
          <w:tcPr>
            <w:tcW w:w="2677" w:type="dxa"/>
          </w:tcPr>
          <w:p>
            <w:pPr>
              <w:pStyle w:val="15"/>
              <w:keepNext w:val="0"/>
              <w:keepLines w:val="0"/>
              <w:widowControl/>
              <w:suppressLineNumbers w:val="0"/>
              <w:spacing w:before="120" w:beforeAutospacing="0" w:after="120" w:afterAutospacing="0"/>
              <w:ind w:right="0"/>
              <w:rPr>
                <w:rFonts w:hint="default" w:ascii="Verdana" w:hAnsi="Verdana" w:cs="Verdana" w:eastAsiaTheme="minorEastAsia"/>
                <w:i w:val="0"/>
                <w:caps w:val="0"/>
                <w:color w:val="000000"/>
                <w:spacing w:val="0"/>
                <w:sz w:val="14"/>
                <w:szCs w:val="14"/>
                <w:vertAlign w:val="baseline"/>
                <w:lang w:val="en-US" w:eastAsia="zh-CN"/>
              </w:rPr>
            </w:pPr>
            <w:r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14"/>
                <w:szCs w:val="14"/>
                <w:vertAlign w:val="baseline"/>
              </w:rPr>
              <w:t>172.16.10.</w:t>
            </w:r>
            <w:r>
              <w:rPr>
                <w:rFonts w:hint="eastAsia" w:ascii="Verdana" w:hAnsi="Verdana" w:cs="Verdana"/>
                <w:i w:val="0"/>
                <w:caps w:val="0"/>
                <w:color w:val="000000"/>
                <w:spacing w:val="0"/>
                <w:sz w:val="14"/>
                <w:szCs w:val="14"/>
                <w:vertAlign w:val="baseline"/>
                <w:lang w:val="en-US" w:eastAsia="zh-CN"/>
              </w:rPr>
              <w:t>164</w:t>
            </w:r>
          </w:p>
        </w:tc>
        <w:tc>
          <w:tcPr>
            <w:tcW w:w="2677" w:type="dxa"/>
          </w:tcPr>
          <w:p>
            <w:pPr>
              <w:pStyle w:val="15"/>
              <w:keepNext w:val="0"/>
              <w:keepLines w:val="0"/>
              <w:widowControl/>
              <w:suppressLineNumbers w:val="0"/>
              <w:spacing w:before="120" w:beforeAutospacing="0" w:after="120" w:afterAutospacing="0"/>
              <w:ind w:right="0"/>
              <w:rPr>
                <w:rFonts w:hint="default" w:ascii="Verdana" w:hAnsi="Verdana" w:cs="Verdana" w:eastAsiaTheme="minorEastAsia"/>
                <w:i w:val="0"/>
                <w:caps w:val="0"/>
                <w:color w:val="000000"/>
                <w:spacing w:val="0"/>
                <w:sz w:val="14"/>
                <w:szCs w:val="14"/>
                <w:vertAlign w:val="baseline"/>
                <w:lang w:val="en-US" w:eastAsia="zh-CN"/>
              </w:rPr>
            </w:pPr>
            <w:r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14"/>
                <w:szCs w:val="14"/>
                <w:vertAlign w:val="baseline"/>
              </w:rPr>
              <w:t>172.16.10.</w:t>
            </w:r>
            <w:r>
              <w:rPr>
                <w:rFonts w:hint="eastAsia" w:ascii="Verdana" w:hAnsi="Verdana" w:cs="Verdana"/>
                <w:i w:val="0"/>
                <w:caps w:val="0"/>
                <w:color w:val="000000"/>
                <w:spacing w:val="0"/>
                <w:sz w:val="14"/>
                <w:szCs w:val="14"/>
                <w:vertAlign w:val="baseline"/>
                <w:lang w:val="en-US" w:eastAsia="zh-CN"/>
              </w:rPr>
              <w:t>187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7" w:type="dxa"/>
          </w:tcPr>
          <w:p>
            <w:pPr>
              <w:pStyle w:val="15"/>
              <w:keepNext w:val="0"/>
              <w:keepLines w:val="0"/>
              <w:widowControl/>
              <w:suppressLineNumbers w:val="0"/>
              <w:spacing w:before="120" w:beforeAutospacing="0" w:after="120" w:afterAutospacing="0"/>
              <w:ind w:right="0"/>
              <w:rPr>
                <w:rFonts w:hint="default" w:ascii="Verdana" w:hAnsi="Verdana" w:cs="Verdana" w:eastAsiaTheme="minorEastAsia"/>
                <w:i w:val="0"/>
                <w:caps w:val="0"/>
                <w:color w:val="000000"/>
                <w:spacing w:val="0"/>
                <w:sz w:val="14"/>
                <w:szCs w:val="14"/>
                <w:vertAlign w:val="baseline"/>
                <w:lang w:val="en-US" w:eastAsia="zh-CN"/>
              </w:rPr>
            </w:pPr>
            <w:r>
              <w:rPr>
                <w:rFonts w:hint="eastAsia" w:ascii="Verdana" w:hAnsi="Verdana" w:cs="Verdana"/>
                <w:i w:val="0"/>
                <w:color w:val="000000"/>
                <w:spacing w:val="0"/>
                <w:sz w:val="14"/>
                <w:szCs w:val="14"/>
                <w:vertAlign w:val="baseline"/>
                <w:lang w:val="en-US" w:eastAsia="zh-CN"/>
              </w:rPr>
              <w:t>O</w:t>
            </w:r>
            <w:r>
              <w:rPr>
                <w:rFonts w:hint="eastAsia" w:ascii="Verdana" w:hAnsi="Verdana" w:cs="Verdana"/>
                <w:i w:val="0"/>
                <w:caps w:val="0"/>
                <w:color w:val="000000"/>
                <w:spacing w:val="0"/>
                <w:sz w:val="14"/>
                <w:szCs w:val="14"/>
                <w:vertAlign w:val="baseline"/>
                <w:lang w:val="en-US" w:eastAsia="zh-CN"/>
              </w:rPr>
              <w:t>rder1:7050</w:t>
            </w:r>
          </w:p>
        </w:tc>
        <w:tc>
          <w:tcPr>
            <w:tcW w:w="2677" w:type="dxa"/>
          </w:tcPr>
          <w:p>
            <w:pPr>
              <w:pStyle w:val="15"/>
              <w:keepNext w:val="0"/>
              <w:keepLines w:val="0"/>
              <w:widowControl/>
              <w:suppressLineNumbers w:val="0"/>
              <w:spacing w:before="120" w:beforeAutospacing="0" w:after="120" w:afterAutospacing="0"/>
              <w:ind w:right="0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14"/>
                <w:szCs w:val="14"/>
                <w:vertAlign w:val="baseline"/>
                <w:lang w:val="en-US"/>
              </w:rPr>
            </w:pPr>
            <w:r>
              <w:rPr>
                <w:rFonts w:hint="eastAsia" w:ascii="Verdana" w:hAnsi="Verdana" w:cs="Verdana"/>
                <w:i w:val="0"/>
                <w:color w:val="000000"/>
                <w:spacing w:val="0"/>
                <w:sz w:val="14"/>
                <w:szCs w:val="14"/>
                <w:vertAlign w:val="baseline"/>
                <w:lang w:val="en-US" w:eastAsia="zh-CN"/>
              </w:rPr>
              <w:t>O</w:t>
            </w:r>
            <w:r>
              <w:rPr>
                <w:rFonts w:hint="eastAsia" w:ascii="Verdana" w:hAnsi="Verdana" w:cs="Verdana"/>
                <w:i w:val="0"/>
                <w:caps w:val="0"/>
                <w:color w:val="000000"/>
                <w:spacing w:val="0"/>
                <w:sz w:val="14"/>
                <w:szCs w:val="14"/>
                <w:vertAlign w:val="baseline"/>
                <w:lang w:val="en-US" w:eastAsia="zh-CN"/>
              </w:rPr>
              <w:t>rder2:7050</w:t>
            </w:r>
          </w:p>
        </w:tc>
        <w:tc>
          <w:tcPr>
            <w:tcW w:w="2677" w:type="dxa"/>
          </w:tcPr>
          <w:p>
            <w:pPr>
              <w:pStyle w:val="15"/>
              <w:keepNext w:val="0"/>
              <w:keepLines w:val="0"/>
              <w:widowControl/>
              <w:suppressLineNumbers w:val="0"/>
              <w:spacing w:before="120" w:beforeAutospacing="0" w:after="120" w:afterAutospacing="0"/>
              <w:ind w:right="0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14"/>
                <w:szCs w:val="14"/>
                <w:vertAlign w:val="baseline"/>
                <w:lang w:val="en-US"/>
              </w:rPr>
            </w:pPr>
            <w:r>
              <w:rPr>
                <w:rFonts w:hint="eastAsia" w:ascii="Verdana" w:hAnsi="Verdana" w:cs="Verdana"/>
                <w:i w:val="0"/>
                <w:color w:val="000000"/>
                <w:spacing w:val="0"/>
                <w:sz w:val="14"/>
                <w:szCs w:val="14"/>
                <w:vertAlign w:val="baseline"/>
                <w:lang w:val="en-US" w:eastAsia="zh-CN"/>
              </w:rPr>
              <w:t>O</w:t>
            </w:r>
            <w:r>
              <w:rPr>
                <w:rFonts w:hint="eastAsia" w:ascii="Verdana" w:hAnsi="Verdana" w:cs="Verdana"/>
                <w:i w:val="0"/>
                <w:caps w:val="0"/>
                <w:color w:val="000000"/>
                <w:spacing w:val="0"/>
                <w:sz w:val="14"/>
                <w:szCs w:val="14"/>
                <w:vertAlign w:val="baseline"/>
                <w:lang w:val="en-US" w:eastAsia="zh-CN"/>
              </w:rPr>
              <w:t>rder3:7050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7" w:type="dxa"/>
          </w:tcPr>
          <w:p>
            <w:pPr>
              <w:pStyle w:val="15"/>
              <w:keepNext w:val="0"/>
              <w:keepLines w:val="0"/>
              <w:widowControl/>
              <w:suppressLineNumbers w:val="0"/>
              <w:spacing w:before="120" w:beforeAutospacing="0" w:after="120" w:afterAutospacing="0"/>
              <w:ind w:right="0"/>
              <w:rPr>
                <w:rFonts w:hint="default" w:ascii="Verdana" w:hAnsi="Verdana" w:cs="Verdana" w:eastAsiaTheme="minorEastAsia"/>
                <w:i w:val="0"/>
                <w:caps w:val="0"/>
                <w:color w:val="000000"/>
                <w:spacing w:val="0"/>
                <w:sz w:val="14"/>
                <w:szCs w:val="14"/>
                <w:vertAlign w:val="baseline"/>
                <w:lang w:val="en-US" w:eastAsia="zh-CN"/>
              </w:rPr>
            </w:pPr>
            <w:r>
              <w:rPr>
                <w:rFonts w:hint="eastAsia" w:ascii="Verdana" w:hAnsi="Verdana" w:cs="Verdana"/>
                <w:i w:val="0"/>
                <w:color w:val="000000"/>
                <w:spacing w:val="0"/>
                <w:sz w:val="14"/>
                <w:szCs w:val="14"/>
                <w:vertAlign w:val="baseline"/>
                <w:lang w:val="en-US" w:eastAsia="zh-CN"/>
              </w:rPr>
              <w:t>P</w:t>
            </w:r>
            <w:r>
              <w:rPr>
                <w:rFonts w:hint="eastAsia" w:ascii="Verdana" w:hAnsi="Verdana" w:cs="Verdana"/>
                <w:i w:val="0"/>
                <w:caps w:val="0"/>
                <w:color w:val="000000"/>
                <w:spacing w:val="0"/>
                <w:sz w:val="14"/>
                <w:szCs w:val="14"/>
                <w:vertAlign w:val="baseline"/>
                <w:lang w:val="en-US" w:eastAsia="zh-CN"/>
              </w:rPr>
              <w:t>eer0.org1:7051-&gt;couchdb1:5984</w:t>
            </w:r>
          </w:p>
        </w:tc>
        <w:tc>
          <w:tcPr>
            <w:tcW w:w="2677" w:type="dxa"/>
          </w:tcPr>
          <w:p>
            <w:pPr>
              <w:pStyle w:val="15"/>
              <w:keepNext w:val="0"/>
              <w:keepLines w:val="0"/>
              <w:widowControl/>
              <w:suppressLineNumbers w:val="0"/>
              <w:spacing w:before="120" w:beforeAutospacing="0" w:after="120" w:afterAutospacing="0"/>
              <w:ind w:right="0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14"/>
                <w:szCs w:val="14"/>
                <w:vertAlign w:val="baseline"/>
                <w:lang w:val="en-US" w:eastAsia="zh-CN"/>
              </w:rPr>
            </w:pPr>
            <w:r>
              <w:rPr>
                <w:rFonts w:hint="eastAsia" w:ascii="Verdana" w:hAnsi="Verdana" w:cs="Verdana"/>
                <w:i w:val="0"/>
                <w:color w:val="000000"/>
                <w:spacing w:val="0"/>
                <w:sz w:val="14"/>
                <w:szCs w:val="14"/>
                <w:vertAlign w:val="baseline"/>
                <w:lang w:val="en-US" w:eastAsia="zh-CN"/>
              </w:rPr>
              <w:t>P</w:t>
            </w:r>
            <w:r>
              <w:rPr>
                <w:rFonts w:hint="eastAsia" w:ascii="Verdana" w:hAnsi="Verdana" w:cs="Verdana"/>
                <w:i w:val="0"/>
                <w:caps w:val="0"/>
                <w:color w:val="000000"/>
                <w:spacing w:val="0"/>
                <w:sz w:val="14"/>
                <w:szCs w:val="14"/>
                <w:vertAlign w:val="baseline"/>
                <w:lang w:val="en-US" w:eastAsia="zh-CN"/>
              </w:rPr>
              <w:t>eer1.org1:7051-&gt;couchdb1:5984</w:t>
            </w:r>
          </w:p>
          <w:p>
            <w:pPr>
              <w:pStyle w:val="15"/>
              <w:keepNext w:val="0"/>
              <w:keepLines w:val="0"/>
              <w:widowControl/>
              <w:suppressLineNumbers w:val="0"/>
              <w:spacing w:before="120" w:beforeAutospacing="0" w:after="120" w:afterAutospacing="0"/>
              <w:ind w:right="0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14"/>
                <w:szCs w:val="14"/>
                <w:vertAlign w:val="baseline"/>
                <w:lang w:val="en-US" w:eastAsia="zh-CN"/>
              </w:rPr>
            </w:pPr>
            <w:r>
              <w:rPr>
                <w:rFonts w:hint="eastAsia" w:ascii="Verdana" w:hAnsi="Verdana" w:cs="Verdana"/>
                <w:i w:val="0"/>
                <w:color w:val="000000"/>
                <w:spacing w:val="0"/>
                <w:sz w:val="14"/>
                <w:szCs w:val="14"/>
                <w:vertAlign w:val="baseline"/>
                <w:lang w:val="en-US" w:eastAsia="zh-CN"/>
              </w:rPr>
              <w:t>P</w:t>
            </w:r>
            <w:r>
              <w:rPr>
                <w:rFonts w:hint="eastAsia" w:ascii="Verdana" w:hAnsi="Verdana" w:cs="Verdana"/>
                <w:i w:val="0"/>
                <w:caps w:val="0"/>
                <w:color w:val="000000"/>
                <w:spacing w:val="0"/>
                <w:sz w:val="14"/>
                <w:szCs w:val="14"/>
                <w:vertAlign w:val="baseline"/>
                <w:lang w:val="en-US" w:eastAsia="zh-CN"/>
              </w:rPr>
              <w:t>eer1.org2:8051-&gt;couchdb2:6984</w:t>
            </w:r>
          </w:p>
        </w:tc>
        <w:tc>
          <w:tcPr>
            <w:tcW w:w="2677" w:type="dxa"/>
          </w:tcPr>
          <w:p>
            <w:pPr>
              <w:pStyle w:val="15"/>
              <w:keepNext w:val="0"/>
              <w:keepLines w:val="0"/>
              <w:widowControl/>
              <w:suppressLineNumbers w:val="0"/>
              <w:spacing w:before="120" w:beforeAutospacing="0" w:after="120" w:afterAutospacing="0"/>
              <w:ind w:right="0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14"/>
                <w:szCs w:val="14"/>
                <w:vertAlign w:val="baseline"/>
                <w:lang w:val="en-US" w:eastAsia="zh-CN"/>
              </w:rPr>
            </w:pPr>
            <w:r>
              <w:rPr>
                <w:rFonts w:hint="eastAsia" w:ascii="Verdana" w:hAnsi="Verdana" w:cs="Verdana"/>
                <w:i w:val="0"/>
                <w:color w:val="000000"/>
                <w:spacing w:val="0"/>
                <w:sz w:val="14"/>
                <w:szCs w:val="14"/>
                <w:vertAlign w:val="baseline"/>
                <w:lang w:val="en-US" w:eastAsia="zh-CN"/>
              </w:rPr>
              <w:t>P</w:t>
            </w:r>
            <w:r>
              <w:rPr>
                <w:rFonts w:hint="eastAsia" w:ascii="Verdana" w:hAnsi="Verdana" w:cs="Verdana"/>
                <w:i w:val="0"/>
                <w:caps w:val="0"/>
                <w:color w:val="000000"/>
                <w:spacing w:val="0"/>
                <w:sz w:val="14"/>
                <w:szCs w:val="14"/>
                <w:vertAlign w:val="baseline"/>
                <w:lang w:val="en-US" w:eastAsia="zh-CN"/>
              </w:rPr>
              <w:t>eer0.org2:7051-&gt;couchdb1:5984</w:t>
            </w:r>
          </w:p>
          <w:p>
            <w:pPr>
              <w:pStyle w:val="15"/>
              <w:keepNext w:val="0"/>
              <w:keepLines w:val="0"/>
              <w:widowControl/>
              <w:suppressLineNumbers w:val="0"/>
              <w:spacing w:before="120" w:beforeAutospacing="0" w:after="120" w:afterAutospacing="0"/>
              <w:ind w:right="0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14"/>
                <w:szCs w:val="1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7" w:type="dxa"/>
          </w:tcPr>
          <w:p>
            <w:pPr>
              <w:pStyle w:val="15"/>
              <w:keepNext w:val="0"/>
              <w:keepLines w:val="0"/>
              <w:widowControl/>
              <w:suppressLineNumbers w:val="0"/>
              <w:spacing w:before="120" w:beforeAutospacing="0" w:after="120" w:afterAutospacing="0"/>
              <w:ind w:right="0"/>
              <w:rPr>
                <w:rFonts w:hint="default" w:ascii="Verdana" w:hAnsi="Verdana" w:cs="Verdana" w:eastAsiaTheme="minorEastAsia"/>
                <w:i w:val="0"/>
                <w:caps w:val="0"/>
                <w:color w:val="000000"/>
                <w:spacing w:val="0"/>
                <w:sz w:val="14"/>
                <w:szCs w:val="14"/>
                <w:vertAlign w:val="baseline"/>
                <w:lang w:val="en-US" w:eastAsia="zh-CN"/>
              </w:rPr>
            </w:pPr>
            <w:r>
              <w:rPr>
                <w:rFonts w:hint="eastAsia" w:ascii="Verdana" w:hAnsi="Verdana" w:cs="Verdana"/>
                <w:i w:val="0"/>
                <w:caps w:val="0"/>
                <w:color w:val="000000"/>
                <w:spacing w:val="0"/>
                <w:sz w:val="14"/>
                <w:szCs w:val="14"/>
                <w:vertAlign w:val="baseline"/>
                <w:lang w:val="en-US" w:eastAsia="zh-CN"/>
              </w:rPr>
              <w:t>CLI</w:t>
            </w:r>
          </w:p>
        </w:tc>
        <w:tc>
          <w:tcPr>
            <w:tcW w:w="2677" w:type="dxa"/>
          </w:tcPr>
          <w:p>
            <w:pPr>
              <w:pStyle w:val="15"/>
              <w:keepNext w:val="0"/>
              <w:keepLines w:val="0"/>
              <w:widowControl/>
              <w:suppressLineNumbers w:val="0"/>
              <w:spacing w:before="120" w:beforeAutospacing="0" w:after="120" w:afterAutospacing="0"/>
              <w:ind w:right="0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14"/>
                <w:szCs w:val="14"/>
                <w:vertAlign w:val="baseline"/>
              </w:rPr>
            </w:pPr>
            <w:r>
              <w:rPr>
                <w:rFonts w:hint="eastAsia" w:ascii="Verdana" w:hAnsi="Verdana" w:cs="Verdana"/>
                <w:i w:val="0"/>
                <w:caps w:val="0"/>
                <w:color w:val="000000"/>
                <w:spacing w:val="0"/>
                <w:sz w:val="14"/>
                <w:szCs w:val="14"/>
                <w:vertAlign w:val="baseline"/>
                <w:lang w:val="en-US" w:eastAsia="zh-CN"/>
              </w:rPr>
              <w:t>CLI</w:t>
            </w:r>
          </w:p>
        </w:tc>
        <w:tc>
          <w:tcPr>
            <w:tcW w:w="2677" w:type="dxa"/>
          </w:tcPr>
          <w:p>
            <w:pPr>
              <w:pStyle w:val="15"/>
              <w:keepNext w:val="0"/>
              <w:keepLines w:val="0"/>
              <w:widowControl/>
              <w:suppressLineNumbers w:val="0"/>
              <w:spacing w:before="120" w:beforeAutospacing="0" w:after="120" w:afterAutospacing="0"/>
              <w:ind w:right="0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14"/>
                <w:szCs w:val="14"/>
                <w:vertAlign w:val="baseline"/>
              </w:rPr>
            </w:pPr>
            <w:r>
              <w:rPr>
                <w:rFonts w:hint="eastAsia" w:ascii="Verdana" w:hAnsi="Verdana" w:cs="Verdana"/>
                <w:i w:val="0"/>
                <w:caps w:val="0"/>
                <w:color w:val="000000"/>
                <w:spacing w:val="0"/>
                <w:sz w:val="14"/>
                <w:szCs w:val="14"/>
                <w:vertAlign w:val="baseline"/>
                <w:lang w:val="en-US" w:eastAsia="zh-CN"/>
              </w:rPr>
              <w:t>CLI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每个服务器的目录结构如下：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└── test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   ├── chaincode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   │   ├── abac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   │   │   └── go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   │   ├── chaincode_example02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   │   │   ├── go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   │   │   ├── java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   │   │   └── node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   │   ├── fabcar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   │   │   ├── go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   │   │   ├── java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   │   │   ├── javascript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   │   │   ├── javascript-low-level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   │   │   └── typescript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   │   ├── marbles02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   │   │   ├── go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   │   │   └── node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   │   ├── marbles02_private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   │   │   ├── collections_config.json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   │   │   └── go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   │   └── sacc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   │       └── sacc.go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   └── multi_node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       ├── base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       │   └── peer-base.yaml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       ├── channel-artifacts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       │   ├── channel.tx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       │   ├── genesis.block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       │   ├── mychannel.block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       │   ├── Org1MSPanchors.tx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       │   └── Org2MSPanchors.tx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       ├── configtx.yaml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       ├── crypto-config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       │   ├── ordererOrganizations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       │   └── peerOrganizations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       ├── crypto-config.yaml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       ├── docker-compose-host.yaml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       ├── scripts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       │   ├── installcc.sh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       │   └── utils.sh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/>
          <w:lang w:val="en-US" w:eastAsia="zh-CN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       └── start.sh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2" w:name="_Toc10253"/>
      <w:r>
        <w:rPr>
          <w:rFonts w:hint="eastAsia"/>
          <w:lang w:val="en-US" w:eastAsia="zh-CN"/>
        </w:rPr>
        <w:t>关闭selinux</w:t>
      </w:r>
      <w:bookmarkEnd w:id="2"/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查看selinux状态命令：</w:t>
      </w:r>
    </w:p>
    <w:p>
      <w:pPr>
        <w:bidi w:val="0"/>
        <w:ind w:firstLine="420" w:firstLineChars="0"/>
      </w:pPr>
      <w:r>
        <w:t>/usr/sbin/sestatus -v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临时关闭selinux命令，不需重启：</w:t>
      </w:r>
    </w:p>
    <w:p>
      <w:pPr>
        <w:bidi w:val="0"/>
        <w:ind w:firstLine="420" w:firstLineChars="0"/>
      </w:pPr>
      <w:r>
        <w:t>setenforce 0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3" w:name="_Toc21342"/>
      <w:r>
        <w:rPr>
          <w:rFonts w:hint="eastAsia"/>
          <w:lang w:val="en-US" w:eastAsia="zh-CN"/>
        </w:rPr>
        <w:t>关闭防火墙</w:t>
      </w:r>
      <w:bookmarkEnd w:id="3"/>
    </w:p>
    <w:p>
      <w:pPr>
        <w:bidi w:val="0"/>
        <w:ind w:firstLine="420" w:firstLineChars="0"/>
      </w:pPr>
      <w:r>
        <w:t>systemctl status firewalld.service查看防火墙状态</w:t>
      </w:r>
      <w:r>
        <w:rPr>
          <w:rFonts w:hint="eastAsia"/>
          <w:lang w:eastAsia="zh-CN"/>
        </w:rPr>
        <w:t>，</w:t>
      </w:r>
      <w:r>
        <w:t>执行后可以看到绿色字样标注的“active（running）”，说明防火墙是开启状态</w:t>
      </w:r>
    </w:p>
    <w:p>
      <w:pPr>
        <w:bidi w:val="0"/>
        <w:ind w:firstLine="420" w:firstLineChars="0"/>
        <w:rPr>
          <w:rFonts w:hint="eastAsia"/>
          <w:lang w:eastAsia="zh-CN"/>
        </w:rPr>
      </w:pPr>
      <w:r>
        <w:drawing>
          <wp:inline distT="0" distB="0" distL="114300" distR="114300">
            <wp:extent cx="4364990" cy="1152525"/>
            <wp:effectExtent l="0" t="0" r="8890" b="5715"/>
            <wp:docPr id="2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6499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ind w:firstLine="420" w:firstLineChars="0"/>
      </w:pPr>
      <w:r>
        <w:t>systemctl stop firewalld.service 关闭运行的防火墙</w:t>
      </w:r>
    </w:p>
    <w:p>
      <w:pPr>
        <w:ind w:firstLine="420" w:firstLineChars="0"/>
      </w:pPr>
      <w:r>
        <w:drawing>
          <wp:inline distT="0" distB="0" distL="114300" distR="114300">
            <wp:extent cx="4590415" cy="1831340"/>
            <wp:effectExtent l="0" t="0" r="12065" b="12700"/>
            <wp:docPr id="2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90415" cy="1831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</w:pPr>
      <w:bookmarkStart w:id="4" w:name="_Toc12333"/>
      <w:r>
        <w:rPr>
          <w:rFonts w:hint="default"/>
        </w:rPr>
        <w:t>配置域名解析</w:t>
      </w:r>
      <w:bookmarkEnd w:id="4"/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在每台的服务器上都需要配置order、peer、ca的域名，需要修改本机的域名和docker容器的域名。本机域名修改</w:t>
      </w:r>
      <w:r>
        <w:rPr>
          <w:rFonts w:hint="default"/>
        </w:rPr>
        <w:t>/etc/hosts</w:t>
      </w:r>
      <w:r>
        <w:rPr>
          <w:rFonts w:hint="eastAsia"/>
          <w:lang w:eastAsia="zh-CN"/>
        </w:rPr>
        <w:t>。</w:t>
      </w:r>
      <w:r>
        <w:rPr>
          <w:rFonts w:hint="eastAsia"/>
          <w:lang w:val="en-US" w:eastAsia="zh-CN"/>
        </w:rPr>
        <w:t>Docker容器的域名在docker-composer的extra_hosts下面进行配置。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112的</w:t>
      </w:r>
      <w:r>
        <w:rPr>
          <w:rFonts w:hint="default"/>
        </w:rPr>
        <w:t>/etc/hosts</w:t>
      </w:r>
      <w:r>
        <w:rPr>
          <w:rFonts w:hint="eastAsia"/>
          <w:lang w:val="en-US" w:eastAsia="zh-CN"/>
        </w:rPr>
        <w:t>文件如下：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eastAsia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127.0.0.1   localhost localhost.localdomain localhost4 localhost4.localdomain4 orderer1.example.com peer0.org1.example.com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eastAsia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::1         localhost localhost.localdomain localhost6 localhost6.localdomain6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eastAsia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172.16.10.164 orderer2.example.com peer1.org1.example.com peer1.org2.example.com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eastAsia"/>
          <w:lang w:val="en-US" w:eastAsia="zh-CN"/>
        </w:rPr>
      </w:pPr>
      <w:r>
        <w:rPr>
          <w:rFonts w:hint="eastAsia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172.16.10.187 orderer3.example.com peer0.org2.example.com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164的</w:t>
      </w:r>
      <w:r>
        <w:rPr>
          <w:rFonts w:hint="default"/>
        </w:rPr>
        <w:t>/etc/hosts</w:t>
      </w:r>
      <w:r>
        <w:rPr>
          <w:rFonts w:hint="eastAsia"/>
          <w:lang w:val="en-US" w:eastAsia="zh-CN"/>
        </w:rPr>
        <w:t>文件如下：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eastAsia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127.0.0.1   localhost localhost.localdomain localhost4 localhost4.localdomain4 orderer2.example.com peer1.org1.example.com peer1.org2.example.com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eastAsia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::1         localhost localhost.localdomain localhost6 localhost6.localdomain6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eastAsia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eastAsia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172.16.10.112 orderer1.example.com peer0.org1.example.com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eastAsia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172.16.10.187 orderer3.example.com peer0.org2.example.com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187的</w:t>
      </w:r>
      <w:r>
        <w:rPr>
          <w:rFonts w:hint="default"/>
        </w:rPr>
        <w:t>/etc/hosts</w:t>
      </w:r>
      <w:r>
        <w:rPr>
          <w:rFonts w:hint="eastAsia"/>
          <w:lang w:val="en-US" w:eastAsia="zh-CN"/>
        </w:rPr>
        <w:t>文件如下：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127.0.0.1   localhost localhost.localdomain localhost4 localhost4.localdomain4 orderer3.example.com peer0.org2.example.com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::1         localhost localhost.localdomain localhost6 localhost6.localdomain6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172.16.10.112 orderer1.example.com peer0.org1.example.com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172.16.10.164 orderer2.example.com peer1.org1.example.com peer1.org2.example.com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5" w:name="_Toc28784"/>
      <w:r>
        <w:rPr>
          <w:rFonts w:hint="eastAsia"/>
          <w:lang w:val="en-US" w:eastAsia="zh-CN"/>
        </w:rPr>
        <w:t>证书配置</w:t>
      </w:r>
      <w:bookmarkEnd w:id="5"/>
    </w:p>
    <w:p>
      <w:pPr>
        <w:ind w:firstLine="420" w:firstLineChars="0"/>
      </w:pPr>
      <w:r>
        <w:rPr>
          <w:rFonts w:hint="default"/>
          <w:lang w:val="en-US" w:eastAsia="zh-CN"/>
        </w:rPr>
        <w:t>crypto-config.yaml</w:t>
      </w:r>
      <w:r>
        <w:rPr>
          <w:rFonts w:hint="eastAsia"/>
          <w:lang w:val="en-US" w:eastAsia="zh-CN"/>
        </w:rPr>
        <w:t>配置参考附件《fabric多机环境》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只需要在一台服务器生成证书，并复制到其他服务器的证书目录中。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注意：使用同样的</w:t>
      </w:r>
      <w:r>
        <w:rPr>
          <w:rFonts w:hint="default"/>
          <w:lang w:val="en-US" w:eastAsia="zh-CN"/>
        </w:rPr>
        <w:t>crypto-config.yaml</w:t>
      </w:r>
      <w:r>
        <w:rPr>
          <w:rFonts w:hint="eastAsia"/>
          <w:lang w:val="en-US" w:eastAsia="zh-CN"/>
        </w:rPr>
        <w:t>配置，每次生成的证书也是不一样的，所以证书只能生成一次，然后复制到其他服务器上。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在112服务器生成证书：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cryptogen generate --config=./crypto-config.yaml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证书复制到另外两台服务器：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scp -r ./crypto-config/* 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fldChar w:fldCharType="begin"/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instrText xml:space="preserve"> HYPERLINK "mailto:root@172.16.10.164:/root/hyperledger-fabric-1.4.4/test/multi_node/crypto-config/" </w:instrTex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fldChar w:fldCharType="separate"/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root@172.16.10.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164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:/root/hyperledger-fabric-1.4.4/test/multi_node/crypto-config/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/>
          <w:lang w:val="en-US" w:eastAsia="zh-CN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scp -r ./crypto-config/* 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fldChar w:fldCharType="begin"/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instrText xml:space="preserve"> HYPERLINK "mailto:root@172.16.10.164:/root/hyperledger-fabric-1.4.4/test/multi_node/crypto-config/" </w:instrTex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fldChar w:fldCharType="separate"/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root@172.16.10.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187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:/root/hyperledger-fabric-1.4.4/test/multi_node/crypto-config/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fldChar w:fldCharType="end"/>
      </w:r>
    </w:p>
    <w:p>
      <w:pPr>
        <w:pStyle w:val="3"/>
        <w:bidi w:val="0"/>
        <w:rPr>
          <w:rFonts w:hint="default"/>
          <w:lang w:val="en-US" w:eastAsia="zh-CN"/>
        </w:rPr>
      </w:pPr>
      <w:bookmarkStart w:id="6" w:name="_Toc4806"/>
      <w:r>
        <w:rPr>
          <w:rFonts w:hint="eastAsia"/>
          <w:lang w:val="en-US" w:eastAsia="zh-CN"/>
        </w:rPr>
        <w:t>通道配置</w:t>
      </w:r>
      <w:bookmarkEnd w:id="6"/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configtx.yaml </w:t>
      </w:r>
      <w:r>
        <w:rPr>
          <w:rFonts w:hint="eastAsia"/>
          <w:lang w:val="en-US" w:eastAsia="zh-CN"/>
        </w:rPr>
        <w:t>配置参加附件《fabric多机环境》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只需在一台服务器生成创世块、通道信息即可。下面命令皆在112服务器执行</w:t>
      </w:r>
    </w:p>
    <w:p>
      <w:pPr>
        <w:pStyle w:val="4"/>
        <w:bidi w:val="0"/>
      </w:pPr>
      <w:bookmarkStart w:id="7" w:name="_Toc3284"/>
      <w:r>
        <w:t>生成创世区块</w:t>
      </w:r>
      <w:bookmarkEnd w:id="7"/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configtxgen -profile SampleMultiNodeEtcdRaft -channelID $SYS_CHANNEL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-outputBlock ./channel-artifacts/genesis.block</w:t>
      </w:r>
    </w:p>
    <w:p>
      <w:pPr>
        <w:pStyle w:val="4"/>
        <w:bidi w:val="0"/>
      </w:pPr>
      <w:bookmarkStart w:id="8" w:name="_Toc7210"/>
      <w:r>
        <w:t>生成通道配置区块</w:t>
      </w:r>
      <w:bookmarkEnd w:id="8"/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configtxgen -profile TwoOrgsChannel -outputCreateChannelTx ./channel-artifacts/mychannel.tx -channelID mychannel</w:t>
      </w:r>
    </w:p>
    <w:p>
      <w:pPr>
        <w:pStyle w:val="4"/>
        <w:bidi w:val="0"/>
        <w:rPr>
          <w:rFonts w:hint="default"/>
          <w:lang w:val="en-US" w:eastAsia="zh-CN"/>
        </w:rPr>
      </w:pPr>
      <w:bookmarkStart w:id="9" w:name="_Toc21403"/>
      <w:r>
        <w:rPr>
          <w:rFonts w:hint="eastAsia"/>
          <w:lang w:val="en-US" w:eastAsia="zh-CN"/>
        </w:rPr>
        <w:t>生成锚节点信息</w:t>
      </w:r>
      <w:bookmarkEnd w:id="9"/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configtxgen -profile TwoOrgsChannel -outputAnchorPeersUpdate ./channel-artifacts/Org1MSPanchors.tx -channelID mychannel -asOrg Org1MSP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/>
          <w:lang w:val="en-US" w:eastAsia="zh-CN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configtxgen -profile TwoOrgsChannel -outputAnchorPeersUpdate ./channel-artifacts/Org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MSPanchors.tx -channelID mychannel -asOrg Org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MSP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10" w:name="_Toc8989"/>
      <w:r>
        <w:rPr>
          <w:rFonts w:hint="eastAsia"/>
          <w:lang w:val="en-US" w:eastAsia="zh-CN"/>
        </w:rPr>
        <w:t>Docker配置</w:t>
      </w:r>
      <w:bookmarkEnd w:id="10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为了使用统一的启动脚本，所有服务器的docker配置均写到docker-compose-host.yaml中，所有容器都使用容器名称作为数据持久化的目录。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每台服务器的docker-compose配置参考附件《fabric多机环境》。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注意docker容器内的couchdb端口必须是5984，不能修改，一台服务器启动多个couchdb时，只需要修改本机对外映射的端口号。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11" w:name="_Toc8329"/>
      <w:r>
        <w:rPr>
          <w:rFonts w:hint="eastAsia"/>
          <w:lang w:val="en-US" w:eastAsia="zh-CN"/>
        </w:rPr>
        <w:t>启动</w:t>
      </w:r>
      <w:bookmarkEnd w:id="11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启动脚本为start.sh，三台服务器同时执行start.sh，重点关注112的输出日志。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三台服务器启动各自的docker容器。112比其他两个服务器多了锚节点更新、channel创建、链码部署、链码交易和查询。链码使用的fabric-samples中的chaincode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112的start.sh脚本比其他两个服务器的脚本多了锚节点更新、channel创建、链码部署、链码交易和查询。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三台服务器的启动脚本参考附件《fabric多机环境》。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12" w:name="_Toc15391"/>
      <w:r>
        <w:rPr>
          <w:rFonts w:hint="eastAsia"/>
          <w:lang w:val="en-US" w:eastAsia="zh-CN"/>
        </w:rPr>
        <w:t>清空docker环境</w:t>
      </w:r>
      <w:bookmarkEnd w:id="12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彻底清空不使用的docker环境，需要执行以下命令：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stop停止所有容器</w:t>
      </w:r>
      <w:r>
        <w:rPr>
          <w:rFonts w:hint="default"/>
          <w:lang w:val="en-US" w:eastAsia="zh-CN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docker stop $(docker ps -a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-q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remove删除所有容器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docker rm $(docker ps 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-q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清空所有未使用的docker挂载信息（慎用）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docker 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volume prune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清理没有再被任何容器引用的networks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docker network prune 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13" w:name="_Toc26304"/>
      <w:r>
        <w:rPr>
          <w:rFonts w:hint="eastAsia"/>
          <w:lang w:val="en-US" w:eastAsia="zh-CN"/>
        </w:rPr>
        <w:t>附件</w:t>
      </w:r>
      <w:bookmarkEnd w:id="13"/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object>
          <v:shape id="_x0000_i1025" o:spt="75" type="#_x0000_t75" style="height:65.4pt;width:72.6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Package" ShapeID="_x0000_i1025" DrawAspect="Icon" ObjectID="_1468075725" r:id="rId6">
            <o:LockedField>false</o:LockedField>
          </o:OLEObject>
        </w:object>
      </w:r>
    </w:p>
    <w:p>
      <w:pPr>
        <w:pStyle w:val="3"/>
        <w:bidi w:val="0"/>
        <w:rPr>
          <w:rFonts w:hint="default"/>
          <w:lang w:val="en-US" w:eastAsia="zh-CN"/>
        </w:rPr>
      </w:pPr>
      <w:bookmarkStart w:id="14" w:name="_Toc993"/>
      <w:r>
        <w:rPr>
          <w:rFonts w:hint="eastAsia"/>
          <w:lang w:val="en-US" w:eastAsia="zh-CN"/>
        </w:rPr>
        <w:t>参考资料</w:t>
      </w:r>
      <w:bookmarkEnd w:id="14"/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"https://www.cnblogs.com/cbkj-xd/p/11067814.html"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21"/>
          <w:rFonts w:ascii="宋体" w:hAnsi="宋体" w:eastAsia="宋体" w:cs="宋体"/>
          <w:sz w:val="24"/>
          <w:szCs w:val="24"/>
        </w:rPr>
        <w:t>https://www.cnblogs.com/cbkj-xd/p/11067814.html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"https://www.cnblogs.com/llongst/p/9571363.html"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21"/>
          <w:rFonts w:ascii="宋体" w:hAnsi="宋体" w:eastAsia="宋体" w:cs="宋体"/>
          <w:sz w:val="24"/>
          <w:szCs w:val="24"/>
        </w:rPr>
        <w:t>https://www.cnblogs.com/llongst/p/9571363.html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"https://www.cnblogs.com/si812cn/p/9860391.html"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21"/>
          <w:rFonts w:ascii="宋体" w:hAnsi="宋体" w:eastAsia="宋体" w:cs="宋体"/>
          <w:sz w:val="24"/>
          <w:szCs w:val="24"/>
        </w:rPr>
        <w:t>https://www.cnblogs.com/si812cn/p/9860391.html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"https://blog.csdn.net/shebao3333/article/details/103687983"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21"/>
          <w:rFonts w:ascii="宋体" w:hAnsi="宋体" w:eastAsia="宋体" w:cs="宋体"/>
          <w:sz w:val="24"/>
          <w:szCs w:val="24"/>
        </w:rPr>
        <w:t>https://blog.csdn.net/shebao3333/article/details/103687983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"https://www.jianshu.com/p/2ddb65a1f27c"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21"/>
          <w:rFonts w:ascii="宋体" w:hAnsi="宋体" w:eastAsia="宋体" w:cs="宋体"/>
          <w:sz w:val="24"/>
          <w:szCs w:val="24"/>
        </w:rPr>
        <w:t>https://www.jianshu.com/p/2ddb65a1f27c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"https://blog.csdn.net/meltsnow/article/details/94548066"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21"/>
          <w:rFonts w:ascii="宋体" w:hAnsi="宋体" w:eastAsia="宋体" w:cs="宋体"/>
          <w:sz w:val="24"/>
          <w:szCs w:val="24"/>
        </w:rPr>
        <w:t>https://blog.csdn.net/meltsnow/article/details/94548066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"https://blog.csdn.net/beijihukk/article/details/103500970"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21"/>
          <w:rFonts w:ascii="宋体" w:hAnsi="宋体" w:eastAsia="宋体" w:cs="宋体"/>
          <w:sz w:val="24"/>
          <w:szCs w:val="24"/>
        </w:rPr>
        <w:t>https://blog.csdn.net/beijihukk/article/details/103500970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26E7D46"/>
    <w:multiLevelType w:val="multilevel"/>
    <w:tmpl w:val="B26E7D46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77296"/>
    <w:rsid w:val="002A2590"/>
    <w:rsid w:val="00320976"/>
    <w:rsid w:val="004667F0"/>
    <w:rsid w:val="00786469"/>
    <w:rsid w:val="00A96314"/>
    <w:rsid w:val="00AB0D54"/>
    <w:rsid w:val="010C244B"/>
    <w:rsid w:val="0112759E"/>
    <w:rsid w:val="019E4402"/>
    <w:rsid w:val="02695D59"/>
    <w:rsid w:val="02761D98"/>
    <w:rsid w:val="02783B13"/>
    <w:rsid w:val="02BD5219"/>
    <w:rsid w:val="0314665C"/>
    <w:rsid w:val="035542A3"/>
    <w:rsid w:val="03791C85"/>
    <w:rsid w:val="03F60B68"/>
    <w:rsid w:val="03FA3277"/>
    <w:rsid w:val="04020FFC"/>
    <w:rsid w:val="043F4DDA"/>
    <w:rsid w:val="046B0F48"/>
    <w:rsid w:val="04A137F7"/>
    <w:rsid w:val="04AB6CC8"/>
    <w:rsid w:val="04BE7304"/>
    <w:rsid w:val="04C2647D"/>
    <w:rsid w:val="0509287C"/>
    <w:rsid w:val="053358E5"/>
    <w:rsid w:val="05366A1A"/>
    <w:rsid w:val="05672F2C"/>
    <w:rsid w:val="05DE764A"/>
    <w:rsid w:val="06724B53"/>
    <w:rsid w:val="069E56DA"/>
    <w:rsid w:val="070D3CF8"/>
    <w:rsid w:val="08175195"/>
    <w:rsid w:val="08F0082A"/>
    <w:rsid w:val="090D163C"/>
    <w:rsid w:val="095A39E3"/>
    <w:rsid w:val="095D1C77"/>
    <w:rsid w:val="09AF6257"/>
    <w:rsid w:val="09EC1927"/>
    <w:rsid w:val="0A2724DB"/>
    <w:rsid w:val="0A2E4C5F"/>
    <w:rsid w:val="0A8C3488"/>
    <w:rsid w:val="0ACF1168"/>
    <w:rsid w:val="0B64696B"/>
    <w:rsid w:val="0B852E81"/>
    <w:rsid w:val="0C9533CD"/>
    <w:rsid w:val="0CBB22D5"/>
    <w:rsid w:val="0CEA139E"/>
    <w:rsid w:val="0D153E2F"/>
    <w:rsid w:val="0DB761C6"/>
    <w:rsid w:val="0DD559C7"/>
    <w:rsid w:val="0E0C7A30"/>
    <w:rsid w:val="0E0D67C5"/>
    <w:rsid w:val="0E152B03"/>
    <w:rsid w:val="0E346790"/>
    <w:rsid w:val="0E37579E"/>
    <w:rsid w:val="0EC868CC"/>
    <w:rsid w:val="100E5A76"/>
    <w:rsid w:val="11CA1BF3"/>
    <w:rsid w:val="12192C76"/>
    <w:rsid w:val="13064710"/>
    <w:rsid w:val="13A469AF"/>
    <w:rsid w:val="13D44081"/>
    <w:rsid w:val="1406365B"/>
    <w:rsid w:val="14514FC7"/>
    <w:rsid w:val="14FB0BE7"/>
    <w:rsid w:val="151E4DDA"/>
    <w:rsid w:val="15A303F5"/>
    <w:rsid w:val="15AE58C9"/>
    <w:rsid w:val="16160BB6"/>
    <w:rsid w:val="167E55F9"/>
    <w:rsid w:val="16961F1D"/>
    <w:rsid w:val="178948A7"/>
    <w:rsid w:val="17FA7EDE"/>
    <w:rsid w:val="18554D65"/>
    <w:rsid w:val="191B4B56"/>
    <w:rsid w:val="1920684C"/>
    <w:rsid w:val="1A514532"/>
    <w:rsid w:val="1A976FC8"/>
    <w:rsid w:val="1AB76F07"/>
    <w:rsid w:val="1AFE7D1B"/>
    <w:rsid w:val="1B55043E"/>
    <w:rsid w:val="1BE83460"/>
    <w:rsid w:val="1C080CDA"/>
    <w:rsid w:val="1C1B44F8"/>
    <w:rsid w:val="1C416CF5"/>
    <w:rsid w:val="1C7E0DAD"/>
    <w:rsid w:val="1C853F7C"/>
    <w:rsid w:val="1CA3704C"/>
    <w:rsid w:val="1CD06BC3"/>
    <w:rsid w:val="1CF75CCB"/>
    <w:rsid w:val="1D130612"/>
    <w:rsid w:val="1D1533ED"/>
    <w:rsid w:val="1D562878"/>
    <w:rsid w:val="1D871E30"/>
    <w:rsid w:val="1DC323EC"/>
    <w:rsid w:val="1DE6505E"/>
    <w:rsid w:val="1DFB7DDA"/>
    <w:rsid w:val="1E546E4E"/>
    <w:rsid w:val="1EBF53DF"/>
    <w:rsid w:val="1F2B3CE4"/>
    <w:rsid w:val="1FD40F5D"/>
    <w:rsid w:val="20AC59EA"/>
    <w:rsid w:val="20CE26C1"/>
    <w:rsid w:val="215D6079"/>
    <w:rsid w:val="231450F5"/>
    <w:rsid w:val="24396BAD"/>
    <w:rsid w:val="2440521D"/>
    <w:rsid w:val="245B2B96"/>
    <w:rsid w:val="24A40A55"/>
    <w:rsid w:val="24F70E55"/>
    <w:rsid w:val="25382D35"/>
    <w:rsid w:val="25423DCC"/>
    <w:rsid w:val="25B87DDF"/>
    <w:rsid w:val="25E841F5"/>
    <w:rsid w:val="260732F3"/>
    <w:rsid w:val="261E0C32"/>
    <w:rsid w:val="26702784"/>
    <w:rsid w:val="26D2149D"/>
    <w:rsid w:val="2746084F"/>
    <w:rsid w:val="278A00EE"/>
    <w:rsid w:val="282F700C"/>
    <w:rsid w:val="283B20B9"/>
    <w:rsid w:val="28484E25"/>
    <w:rsid w:val="284F7D11"/>
    <w:rsid w:val="286C041A"/>
    <w:rsid w:val="28FF0F7B"/>
    <w:rsid w:val="292618D9"/>
    <w:rsid w:val="29522D2D"/>
    <w:rsid w:val="29AB72C9"/>
    <w:rsid w:val="2A012C5F"/>
    <w:rsid w:val="2A280229"/>
    <w:rsid w:val="2A3C46E7"/>
    <w:rsid w:val="2AD52233"/>
    <w:rsid w:val="2B4462A1"/>
    <w:rsid w:val="2B515A88"/>
    <w:rsid w:val="2B892BEB"/>
    <w:rsid w:val="2B8F34CB"/>
    <w:rsid w:val="2BFD5C84"/>
    <w:rsid w:val="2DA7174B"/>
    <w:rsid w:val="2DBA6D74"/>
    <w:rsid w:val="2DD25B71"/>
    <w:rsid w:val="2E2B0E34"/>
    <w:rsid w:val="2E3D6293"/>
    <w:rsid w:val="2EA0500B"/>
    <w:rsid w:val="2EBD1E0D"/>
    <w:rsid w:val="2F113138"/>
    <w:rsid w:val="2F5515E5"/>
    <w:rsid w:val="2FF00656"/>
    <w:rsid w:val="30000380"/>
    <w:rsid w:val="30331D9C"/>
    <w:rsid w:val="304C124F"/>
    <w:rsid w:val="30694605"/>
    <w:rsid w:val="31B8033F"/>
    <w:rsid w:val="31C67E52"/>
    <w:rsid w:val="31DD2B9E"/>
    <w:rsid w:val="32547AFB"/>
    <w:rsid w:val="3331100C"/>
    <w:rsid w:val="336654E3"/>
    <w:rsid w:val="33C77AAA"/>
    <w:rsid w:val="33CA5EB6"/>
    <w:rsid w:val="33FE3DC6"/>
    <w:rsid w:val="34295670"/>
    <w:rsid w:val="34703AF9"/>
    <w:rsid w:val="34A01EC3"/>
    <w:rsid w:val="34BB34CD"/>
    <w:rsid w:val="34D72488"/>
    <w:rsid w:val="35456EBC"/>
    <w:rsid w:val="35D00AD6"/>
    <w:rsid w:val="365529D0"/>
    <w:rsid w:val="36FE256D"/>
    <w:rsid w:val="374E4DBE"/>
    <w:rsid w:val="37712C51"/>
    <w:rsid w:val="378F2250"/>
    <w:rsid w:val="37C219AF"/>
    <w:rsid w:val="38105DFB"/>
    <w:rsid w:val="3824321C"/>
    <w:rsid w:val="385916A6"/>
    <w:rsid w:val="386051AD"/>
    <w:rsid w:val="38E90565"/>
    <w:rsid w:val="393C693B"/>
    <w:rsid w:val="39706540"/>
    <w:rsid w:val="39CF386A"/>
    <w:rsid w:val="3AA46554"/>
    <w:rsid w:val="3ACC7D26"/>
    <w:rsid w:val="3AE03E1A"/>
    <w:rsid w:val="3B4005A0"/>
    <w:rsid w:val="3B527993"/>
    <w:rsid w:val="3B8529A5"/>
    <w:rsid w:val="3BA02E09"/>
    <w:rsid w:val="3BAA39E4"/>
    <w:rsid w:val="3BC47173"/>
    <w:rsid w:val="3C2E7913"/>
    <w:rsid w:val="3C3748A2"/>
    <w:rsid w:val="3C68402B"/>
    <w:rsid w:val="3D2824A4"/>
    <w:rsid w:val="3D5C1555"/>
    <w:rsid w:val="3D6043DB"/>
    <w:rsid w:val="3D8952A2"/>
    <w:rsid w:val="3DB75EFD"/>
    <w:rsid w:val="3DBA76DC"/>
    <w:rsid w:val="3E120D3D"/>
    <w:rsid w:val="3E3547CC"/>
    <w:rsid w:val="3E5E2E98"/>
    <w:rsid w:val="3ECB1791"/>
    <w:rsid w:val="3FA81DB6"/>
    <w:rsid w:val="3FBE4C57"/>
    <w:rsid w:val="3FFA415F"/>
    <w:rsid w:val="40156E82"/>
    <w:rsid w:val="40242C91"/>
    <w:rsid w:val="404D5F65"/>
    <w:rsid w:val="405E58AC"/>
    <w:rsid w:val="409F2D00"/>
    <w:rsid w:val="40B87677"/>
    <w:rsid w:val="40F1136D"/>
    <w:rsid w:val="41873CED"/>
    <w:rsid w:val="41904601"/>
    <w:rsid w:val="41B5652E"/>
    <w:rsid w:val="420F68EA"/>
    <w:rsid w:val="421865C5"/>
    <w:rsid w:val="428A05AA"/>
    <w:rsid w:val="428F5563"/>
    <w:rsid w:val="433C6995"/>
    <w:rsid w:val="436E70F0"/>
    <w:rsid w:val="44E67540"/>
    <w:rsid w:val="461967E5"/>
    <w:rsid w:val="46843F51"/>
    <w:rsid w:val="471D2AD7"/>
    <w:rsid w:val="482629CC"/>
    <w:rsid w:val="48AE66A4"/>
    <w:rsid w:val="48D9788F"/>
    <w:rsid w:val="48F50C83"/>
    <w:rsid w:val="490665F5"/>
    <w:rsid w:val="49AF6D73"/>
    <w:rsid w:val="4A320FFF"/>
    <w:rsid w:val="4A450916"/>
    <w:rsid w:val="4A5C1428"/>
    <w:rsid w:val="4B0027AF"/>
    <w:rsid w:val="4B4D62F4"/>
    <w:rsid w:val="4CE87181"/>
    <w:rsid w:val="4CF24479"/>
    <w:rsid w:val="4D4A7524"/>
    <w:rsid w:val="4D5E53FA"/>
    <w:rsid w:val="4D954BB7"/>
    <w:rsid w:val="4ED9531D"/>
    <w:rsid w:val="4EDD7413"/>
    <w:rsid w:val="4F8761F2"/>
    <w:rsid w:val="502954F4"/>
    <w:rsid w:val="50482C1F"/>
    <w:rsid w:val="5056450C"/>
    <w:rsid w:val="505C5BCE"/>
    <w:rsid w:val="50BB4A80"/>
    <w:rsid w:val="51122F8F"/>
    <w:rsid w:val="511A09DB"/>
    <w:rsid w:val="513F5D98"/>
    <w:rsid w:val="51626642"/>
    <w:rsid w:val="5198293E"/>
    <w:rsid w:val="51B830AC"/>
    <w:rsid w:val="51BD044A"/>
    <w:rsid w:val="522250CB"/>
    <w:rsid w:val="528E5050"/>
    <w:rsid w:val="537373B9"/>
    <w:rsid w:val="539A54CF"/>
    <w:rsid w:val="53DE049F"/>
    <w:rsid w:val="53EC3B1C"/>
    <w:rsid w:val="54211504"/>
    <w:rsid w:val="542D516B"/>
    <w:rsid w:val="54426F14"/>
    <w:rsid w:val="54746023"/>
    <w:rsid w:val="548F312C"/>
    <w:rsid w:val="54C57DEF"/>
    <w:rsid w:val="54D015BB"/>
    <w:rsid w:val="551A37C4"/>
    <w:rsid w:val="555D7FF5"/>
    <w:rsid w:val="55965900"/>
    <w:rsid w:val="560D3716"/>
    <w:rsid w:val="561F2EFB"/>
    <w:rsid w:val="561F6E91"/>
    <w:rsid w:val="562B61D0"/>
    <w:rsid w:val="5630117B"/>
    <w:rsid w:val="56D57879"/>
    <w:rsid w:val="56F11641"/>
    <w:rsid w:val="57AB7DD8"/>
    <w:rsid w:val="5809471C"/>
    <w:rsid w:val="58304946"/>
    <w:rsid w:val="5849213E"/>
    <w:rsid w:val="58970B75"/>
    <w:rsid w:val="589B3E8F"/>
    <w:rsid w:val="59296E81"/>
    <w:rsid w:val="59F8748C"/>
    <w:rsid w:val="5A3A7524"/>
    <w:rsid w:val="5AC3541B"/>
    <w:rsid w:val="5B3F7151"/>
    <w:rsid w:val="5B5A1D17"/>
    <w:rsid w:val="5B881D47"/>
    <w:rsid w:val="5BAA26D4"/>
    <w:rsid w:val="5BC201A9"/>
    <w:rsid w:val="5C086158"/>
    <w:rsid w:val="5C4F4FE4"/>
    <w:rsid w:val="5C6A1122"/>
    <w:rsid w:val="5CA94197"/>
    <w:rsid w:val="5D3C5467"/>
    <w:rsid w:val="5D6E1261"/>
    <w:rsid w:val="5D970057"/>
    <w:rsid w:val="5D994111"/>
    <w:rsid w:val="5D994658"/>
    <w:rsid w:val="5DCE66F3"/>
    <w:rsid w:val="5DF42EB3"/>
    <w:rsid w:val="5DF56671"/>
    <w:rsid w:val="5E353A20"/>
    <w:rsid w:val="5E527755"/>
    <w:rsid w:val="5EC01C77"/>
    <w:rsid w:val="5EE16E50"/>
    <w:rsid w:val="5EE847A7"/>
    <w:rsid w:val="5F230CB3"/>
    <w:rsid w:val="5F8F452F"/>
    <w:rsid w:val="5FCF2575"/>
    <w:rsid w:val="5FF54044"/>
    <w:rsid w:val="601254B1"/>
    <w:rsid w:val="6096431B"/>
    <w:rsid w:val="60AE69D2"/>
    <w:rsid w:val="60EB6F40"/>
    <w:rsid w:val="617C3422"/>
    <w:rsid w:val="61E3735B"/>
    <w:rsid w:val="62532884"/>
    <w:rsid w:val="627D0718"/>
    <w:rsid w:val="6299333E"/>
    <w:rsid w:val="62B25305"/>
    <w:rsid w:val="62D60831"/>
    <w:rsid w:val="62E047AC"/>
    <w:rsid w:val="636E30AF"/>
    <w:rsid w:val="637F60F8"/>
    <w:rsid w:val="63973C6C"/>
    <w:rsid w:val="63BC0E60"/>
    <w:rsid w:val="63BC309D"/>
    <w:rsid w:val="63C807AF"/>
    <w:rsid w:val="63D35BE2"/>
    <w:rsid w:val="644F12CB"/>
    <w:rsid w:val="64633293"/>
    <w:rsid w:val="64767761"/>
    <w:rsid w:val="64B91274"/>
    <w:rsid w:val="65313287"/>
    <w:rsid w:val="655D73D8"/>
    <w:rsid w:val="65A3156C"/>
    <w:rsid w:val="65AC673D"/>
    <w:rsid w:val="65C61AC0"/>
    <w:rsid w:val="668F6FED"/>
    <w:rsid w:val="66F45AAB"/>
    <w:rsid w:val="67245E6F"/>
    <w:rsid w:val="67A40DCA"/>
    <w:rsid w:val="683604D5"/>
    <w:rsid w:val="68403088"/>
    <w:rsid w:val="68600F12"/>
    <w:rsid w:val="68861DA0"/>
    <w:rsid w:val="690C5048"/>
    <w:rsid w:val="6947371A"/>
    <w:rsid w:val="6A006895"/>
    <w:rsid w:val="6A044584"/>
    <w:rsid w:val="6A232461"/>
    <w:rsid w:val="6AA160BF"/>
    <w:rsid w:val="6ACE42E6"/>
    <w:rsid w:val="6AE42B3B"/>
    <w:rsid w:val="6B2F0EF9"/>
    <w:rsid w:val="6B7E0EEE"/>
    <w:rsid w:val="6D7420FE"/>
    <w:rsid w:val="6D9B6208"/>
    <w:rsid w:val="6DD735FD"/>
    <w:rsid w:val="6DDE286D"/>
    <w:rsid w:val="6E3A7402"/>
    <w:rsid w:val="6E421226"/>
    <w:rsid w:val="6E605AD2"/>
    <w:rsid w:val="6E9C382D"/>
    <w:rsid w:val="6F7B3107"/>
    <w:rsid w:val="6FDC39B0"/>
    <w:rsid w:val="702E6B92"/>
    <w:rsid w:val="70311184"/>
    <w:rsid w:val="70A543A2"/>
    <w:rsid w:val="70A94143"/>
    <w:rsid w:val="70FF3083"/>
    <w:rsid w:val="71E43474"/>
    <w:rsid w:val="72A41486"/>
    <w:rsid w:val="72F2039A"/>
    <w:rsid w:val="733C414C"/>
    <w:rsid w:val="73460360"/>
    <w:rsid w:val="73650F70"/>
    <w:rsid w:val="73C84E0F"/>
    <w:rsid w:val="74722BCC"/>
    <w:rsid w:val="74871049"/>
    <w:rsid w:val="74E7057E"/>
    <w:rsid w:val="75E879E2"/>
    <w:rsid w:val="763A6C9A"/>
    <w:rsid w:val="779A3049"/>
    <w:rsid w:val="78E07551"/>
    <w:rsid w:val="790968EB"/>
    <w:rsid w:val="792057F4"/>
    <w:rsid w:val="792360AB"/>
    <w:rsid w:val="79742D4F"/>
    <w:rsid w:val="797F6FAC"/>
    <w:rsid w:val="798922BE"/>
    <w:rsid w:val="7A4C5388"/>
    <w:rsid w:val="7A644CC9"/>
    <w:rsid w:val="7ABD0E92"/>
    <w:rsid w:val="7AF26937"/>
    <w:rsid w:val="7BA752F1"/>
    <w:rsid w:val="7C1B6A9A"/>
    <w:rsid w:val="7C4F1356"/>
    <w:rsid w:val="7C714771"/>
    <w:rsid w:val="7C7754C2"/>
    <w:rsid w:val="7D8335F7"/>
    <w:rsid w:val="7D8A7677"/>
    <w:rsid w:val="7DB26129"/>
    <w:rsid w:val="7DC31E9F"/>
    <w:rsid w:val="7DF55320"/>
    <w:rsid w:val="7E664F6F"/>
    <w:rsid w:val="7EAE10D0"/>
    <w:rsid w:val="7EBC7BEB"/>
    <w:rsid w:val="7F3558B2"/>
    <w:rsid w:val="7F945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220" w:beforeLines="0" w:beforeAutospacing="0" w:after="210" w:afterLines="0" w:afterAutospacing="0" w:line="240" w:lineRule="auto"/>
      <w:ind w:left="432" w:hanging="432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numPr>
        <w:ilvl w:val="1"/>
        <w:numId w:val="1"/>
      </w:numPr>
      <w:spacing w:before="0" w:beforeAutospacing="1" w:after="0" w:afterAutospacing="1"/>
      <w:ind w:left="575" w:hanging="575"/>
      <w:jc w:val="left"/>
      <w:outlineLvl w:val="1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numPr>
        <w:ilvl w:val="2"/>
        <w:numId w:val="1"/>
      </w:numPr>
      <w:spacing w:before="0" w:beforeAutospacing="1" w:after="0" w:afterAutospacing="1"/>
      <w:ind w:left="720" w:hanging="720"/>
      <w:jc w:val="left"/>
      <w:outlineLvl w:val="2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unhideWhenUsed/>
    <w:qFormat/>
    <w:uiPriority w:val="0"/>
    <w:pPr>
      <w:numPr>
        <w:ilvl w:val="3"/>
        <w:numId w:val="1"/>
      </w:numPr>
      <w:spacing w:before="0" w:beforeAutospacing="1" w:after="0" w:afterAutospacing="1"/>
      <w:ind w:left="864" w:hanging="864"/>
      <w:jc w:val="left"/>
      <w:outlineLvl w:val="3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8">
    <w:name w:val="Default Paragraph Font"/>
    <w:qFormat/>
    <w:uiPriority w:val="0"/>
  </w:style>
  <w:style w:type="table" w:default="1" w:styleId="1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3"/>
    <w:basedOn w:val="1"/>
    <w:next w:val="1"/>
    <w:qFormat/>
    <w:uiPriority w:val="0"/>
    <w:pPr>
      <w:ind w:left="840" w:leftChars="400"/>
    </w:pPr>
  </w:style>
  <w:style w:type="paragraph" w:styleId="12">
    <w:name w:val="toc 1"/>
    <w:basedOn w:val="1"/>
    <w:next w:val="1"/>
    <w:qFormat/>
    <w:uiPriority w:val="0"/>
  </w:style>
  <w:style w:type="paragraph" w:styleId="13">
    <w:name w:val="toc 2"/>
    <w:basedOn w:val="1"/>
    <w:next w:val="1"/>
    <w:qFormat/>
    <w:uiPriority w:val="0"/>
    <w:pPr>
      <w:ind w:left="420" w:leftChars="200"/>
    </w:pPr>
  </w:style>
  <w:style w:type="paragraph" w:styleId="1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17">
    <w:name w:val="Table Grid"/>
    <w:basedOn w:val="1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9">
    <w:name w:val="Strong"/>
    <w:basedOn w:val="18"/>
    <w:qFormat/>
    <w:uiPriority w:val="0"/>
    <w:rPr>
      <w:b/>
    </w:rPr>
  </w:style>
  <w:style w:type="character" w:styleId="20">
    <w:name w:val="Emphasis"/>
    <w:basedOn w:val="18"/>
    <w:qFormat/>
    <w:uiPriority w:val="0"/>
    <w:rPr>
      <w:i/>
    </w:rPr>
  </w:style>
  <w:style w:type="character" w:styleId="21">
    <w:name w:val="Hyperlink"/>
    <w:basedOn w:val="18"/>
    <w:qFormat/>
    <w:uiPriority w:val="0"/>
    <w:rPr>
      <w:color w:val="0000FF"/>
      <w:u w:val="single"/>
    </w:rPr>
  </w:style>
  <w:style w:type="character" w:styleId="22">
    <w:name w:val="HTML Code"/>
    <w:basedOn w:val="18"/>
    <w:qFormat/>
    <w:uiPriority w:val="0"/>
    <w:rPr>
      <w:rFonts w:ascii="Courier New" w:hAnsi="Courier New"/>
      <w:sz w:val="20"/>
    </w:rPr>
  </w:style>
  <w:style w:type="paragraph" w:customStyle="1" w:styleId="23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24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25">
    <w:name w:val="WPSOffice手动目录 3"/>
    <w:qFormat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3.emf"/><Relationship Id="rId6" Type="http://schemas.openxmlformats.org/officeDocument/2006/relationships/oleObject" Target="embeddings/oleObject1.bin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冰雪</dc:creator>
  <cp:lastModifiedBy>冰雪</cp:lastModifiedBy>
  <dcterms:modified xsi:type="dcterms:W3CDTF">2020-01-08T08:16:49Z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