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2F6F94"/>
          <w:sz w:val="22"/>
          <w:szCs w:val="22"/>
        </w:rPr>
        <w:t xml:space="preserve">KOANO</w:t>
      </w:r>
    </w:p>
    <w:p>
      <w:r>
        <w:rPr>
          <w:color w:val="527082"/>
          <w:sz w:val="18"/>
          <w:szCs w:val="18"/>
        </w:rPr>
        <w:t xml:space="preserve">Jane Homeowner</w:t>
      </w:r>
    </w:p>
    <w:p>
      <w:r>
        <w:rPr>
          <w:color w:val="527082"/>
          <w:sz w:val="18"/>
          <w:szCs w:val="18"/>
        </w:rPr>
        <w:t xml:space="preserve">Coastal Realty Partners</w:t>
      </w:r>
    </w:p>
    <w:p>
      <w:r>
        <w:rPr>
          <w:color w:val="527082"/>
          <w:sz w:val="18"/>
          <w:szCs w:val="18"/>
        </w:rPr>
        <w:t xml:space="preserve">License NY-10401234</w:t>
      </w:r>
    </w:p>
    <w:p>
      <w:r>
        <w:rPr>
          <w:color w:val="527082"/>
          <w:sz w:val="18"/>
          <w:szCs w:val="18"/>
        </w:rPr>
        <w:t xml:space="preserve">(212) 555-0142  ·  jane@coastalrp.example</w:t>
      </w:r>
    </w:p>
    <w:p>
      <w:pPr>
        <w:pStyle w:val="Title"/>
      </w:pPr>
      <w:r>
        <w:t xml:space="preserve">Investment Committee Memo</w:t>
      </w:r>
    </w:p>
    <w:p>
      <w:r>
        <w:rPr>
          <w:color w:val="527082"/>
          <w:sz w:val="24"/>
          <w:szCs w:val="24"/>
        </w:rPr>
        <w:t xml:space="preserve">175 3rd Street, Brooklyn, NY</w:t>
      </w:r>
    </w:p>
    <w:p>
      <w:pPr>
        <w:spacing w:before="240"/>
      </w:pPr>
      <w:r>
        <w:rPr>
          <w:color w:val="527082"/>
          <w:sz w:val="16"/>
          <w:szCs w:val="16"/>
        </w:rPr>
        <w:t xml:space="preserve">KOANO RECOMMENDATION</w:t>
      </w:r>
    </w:p>
    <w:p>
      <w:r>
        <w:rPr>
          <w:b/>
          <w:bCs/>
          <w:color w:val="15803D"/>
          <w:sz w:val="44"/>
          <w:szCs w:val="44"/>
        </w:rPr>
        <w:t xml:space="preserve">BUY</w:t>
      </w:r>
    </w:p>
    <w:p>
      <w:r>
        <w:rPr>
          <w:color w:val="527082"/>
          <w:sz w:val="20"/>
          <w:szCs w:val="20"/>
        </w:rPr>
        <w:t xml:space="preserve">Confidence 74 / 100</w:t>
      </w:r>
    </w:p>
    <w:p>
      <w:pPr>
        <w:spacing w:before="160"/>
      </w:pPr>
      <w:r>
        <w:rPr>
          <w:color w:val="0D2B3E"/>
          <w:sz w:val="20"/>
          <w:szCs w:val="20"/>
        </w:rPr>
        <w:t xml:space="preserve">Verdict generated: 2025-11-20</w:t>
      </w:r>
    </w:p>
    <w:p>
      <w:r>
        <w:rPr>
          <w:color w:val="0D2B3E"/>
          <w:sz w:val="20"/>
          <w:szCs w:val="20"/>
        </w:rPr>
        <w:t xml:space="preserve">Memo generated: 2026-01-01</w:t>
      </w:r>
    </w:p>
    <w:p>
      <w:pPr>
        <w:pBdr>
          <w:top w:val="single" w:color="B45309" w:sz="4" w:space="6"/>
          <w:bottom w:val="single" w:color="B45309" w:sz="4" w:space="6"/>
          <w:left w:val="single" w:color="B45309" w:sz="4" w:space="6"/>
          <w:right w:val="single" w:color="B45309" w:sz="4" w:space="6"/>
        </w:pBdr>
        <w:spacing w:before="160"/>
      </w:pPr>
      <w:r>
        <w:rPr>
          <w:color w:val="B45309"/>
          <w:sz w:val="19"/>
          <w:szCs w:val="19"/>
        </w:rPr>
        <w:t xml:space="preserve">STALENESS NOTICE: the underlying KOANO verdict is 42 days old. The market data in this memo was fetched at generation time, but the verdict reflects conditions as of the verdict date. Re-run the analysis before relying on the recommendation.</w:t>
      </w:r>
    </w:p>
    <w:p>
      <w:pPr>
        <w:spacing w:before="300"/>
      </w:pPr>
      <w:r>
        <w:rPr>
          <w:color w:val="527082"/>
          <w:sz w:val="16"/>
          <w:szCs w:val="16"/>
        </w:rPr>
        <w:t xml:space="preserve">CONFIDENTIAL: decision support, not a decision</w:t>
      </w:r>
    </w:p>
    <w:p>
      <w:r>
        <w:br w:type="page"/>
      </w:r>
    </w:p>
    <w:p>
      <w:pPr>
        <w:spacing w:after="160"/>
      </w:pPr>
      <w:r>
        <w:rPr>
          <w:b/>
          <w:bCs/>
          <w:color w:val="0D2B3E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 Executive Summary &amp; Recommendation</w:t>
      </w:r>
    </w:p>
    <w:p>
      <w:r>
        <w:rPr>
          <w:i/>
          <w:iCs/>
          <w:color w:val="15803D"/>
          <w:sz w:val="17"/>
          <w:szCs w:val="17"/>
        </w:rPr>
        <w:t xml:space="preserve">Built from a stored KOANO verdict generated 2025-11-20 (42 days before this memo). Verdict provenance: live.</w:t>
      </w:r>
    </w:p>
    <w:p>
      <w:r>
        <w:rPr>
          <w:color w:val="0D2B3E"/>
          <w:sz w:val="20"/>
          <w:szCs w:val="20"/>
        </w:rPr>
        <w:t xml:space="preserve">KOANO's recommendation for 175 3rd Street is to advance to underwriting. The engine returns a BUY verdict at confidence 74/100, with a confidence-weighted panel score of 1.12 against thresholds. KOANO's recommendation for 175 3rd Street is to advance to underwriting. The engine returns a BUY verdict at confidence 74/100, with a confidence-weighted panel score of 1.12 against thresholds. </w:t>
      </w:r>
    </w:p>
    <w:p>
      <w:r>
        <w:rPr>
          <w:color w:val="0D2B3E"/>
          <w:sz w:val="20"/>
          <w:szCs w:val="20"/>
        </w:rPr>
        <w:t xml:space="preserve">This memo is decision-support built on public record. KOANO cannot source deal financials; those sections are scaffolded for the analyst. This memo is decision-support built on public record. KOANO cannot source deal financials; those sections are scaffolded for the analyst. </w:t>
      </w:r>
    </w:p>
    <w:p>
      <w:pPr>
        <w:pStyle w:val="Heading1"/>
      </w:pPr>
      <w:r>
        <w:t xml:space="preserve">2.  Property Description</w:t>
      </w:r>
    </w:p>
    <w:tbl>
      <w:tblPr>
        <w:tblW w:type="pct" w:w="100%"/>
        <w:tblBorders>
          <w:top w:val="single" w:color="6E8E9D" w:sz="4"/>
          <w:left w:val="none" w:color="FFFFFF" w:sz="0"/>
          <w:bottom w:val="single" w:color="D6EBF7" w:sz="2"/>
          <w:right w:val="none" w:color="FFFFFF" w:sz="0"/>
          <w:insideH w:val="single" w:color="D6EBF7" w:sz="2"/>
          <w:insideV w:val="none" w:color="FFFFFF" w:sz="0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color w:val="0D2B3E"/>
                <w:sz w:val="17"/>
                <w:szCs w:val="17"/>
              </w:rPr>
              <w:t xml:space="preserve">Field</w:t>
            </w:r>
          </w:p>
        </w:tc>
        <w:tc>
          <w:p>
            <w:r>
              <w:rPr>
                <w:b/>
                <w:bCs/>
                <w:color w:val="0D2B3E"/>
                <w:sz w:val="17"/>
                <w:szCs w:val="17"/>
              </w:rPr>
              <w:t xml:space="preserve">Value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Address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175 3rd Street, Brooklyn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BBL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3009720058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Zoning district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M1-4/R7-2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Building class / land use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K4 / 05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Lot area / building area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120,793 sq ft / 13,518 sq ft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Year built / residential units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1931 / 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Assessed total / land (DOF)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$4,185,900 / $3,261,600</w:t>
            </w:r>
          </w:p>
        </w:tc>
      </w:tr>
    </w:tbl>
    <w:p>
      <w:r>
        <w:rPr>
          <w:i/>
          <w:iCs/>
          <w:color w:val="527082"/>
          <w:sz w:val="15"/>
          <w:szCs w:val="15"/>
        </w:rPr>
        <w:t xml:space="preserve">Source: NYC DOF assessment roll via MapPLUTO (live).</w:t>
      </w:r>
    </w:p>
    <w:p>
      <w:pPr>
        <w:pStyle w:val="Heading1"/>
      </w:pPr>
      <w:r>
        <w:t xml:space="preserve">3.  Market &amp; Submarket Analysis</w:t>
      </w:r>
    </w:p>
    <w:tbl>
      <w:tblPr>
        <w:tblW w:type="pct" w:w="100%"/>
        <w:tblBorders>
          <w:top w:val="single" w:color="6E8E9D" w:sz="4"/>
          <w:left w:val="none" w:color="FFFFFF" w:sz="0"/>
          <w:bottom w:val="single" w:color="D6EBF7" w:sz="2"/>
          <w:right w:val="none" w:color="FFFFFF" w:sz="0"/>
          <w:insideH w:val="single" w:color="D6EBF7" w:sz="2"/>
          <w:insideV w:val="none" w:color="FFFFFF" w:sz="0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color w:val="0D2B3E"/>
                <w:sz w:val="17"/>
                <w:szCs w:val="17"/>
              </w:rPr>
              <w:t xml:space="preserve">Indicator</w:t>
            </w:r>
          </w:p>
        </w:tc>
        <w:tc>
          <w:p>
            <w:r>
              <w:rPr>
                <w:b/>
                <w:bCs/>
                <w:color w:val="0D2B3E"/>
                <w:sz w:val="17"/>
                <w:szCs w:val="17"/>
              </w:rPr>
              <w:t xml:space="preserve">Reading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House Price Index: YoY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+5.6% (New York-Jersey City-White Plains)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Recorded sale $/sq ft (median)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$1,156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Neighborhood permits (24 months)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312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Opportunity Zone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No</w:t>
            </w:r>
          </w:p>
        </w:tc>
      </w:tr>
    </w:tbl>
    <w:p>
      <w:pPr>
        <w:pStyle w:val="Heading1"/>
      </w:pPr>
      <w:r>
        <w:t xml:space="preserve">4.  Risk Factors &amp; Mitigants</w:t>
      </w:r>
    </w:p>
    <w:tbl>
      <w:tblPr>
        <w:tblW w:type="pct" w:w="100%"/>
        <w:tblBorders>
          <w:top w:val="single" w:color="6E8E9D" w:sz="4"/>
          <w:left w:val="none" w:color="FFFFFF" w:sz="0"/>
          <w:bottom w:val="single" w:color="D6EBF7" w:sz="2"/>
          <w:right w:val="none" w:color="FFFFFF" w:sz="0"/>
          <w:insideH w:val="single" w:color="D6EBF7" w:sz="2"/>
          <w:insideV w:val="none" w:color="FFFFFF" w:sz="0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color w:val="0D2B3E"/>
                <w:sz w:val="17"/>
                <w:szCs w:val="17"/>
              </w:rPr>
              <w:t xml:space="preserve">Risk factor</w:t>
            </w:r>
          </w:p>
        </w:tc>
        <w:tc>
          <w:p>
            <w:r>
              <w:rPr>
                <w:b/>
                <w:bCs/>
                <w:color w:val="0D2B3E"/>
                <w:sz w:val="17"/>
                <w:szCs w:val="17"/>
              </w:rPr>
              <w:t xml:space="preserve">Mitigant / note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Building violations — HPD 0 open of 3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Quantify remediation cost in diligence.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Flood — FEMA zone X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Outside SFHA. Limited flood exposure.</w:t>
            </w:r>
          </w:p>
        </w:tc>
      </w:tr>
    </w:tbl>
    <w:p>
      <w:r>
        <w:rPr>
          <w:i/>
          <w:iCs/>
          <w:color w:val="527082"/>
          <w:sz w:val="15"/>
          <w:szCs w:val="15"/>
        </w:rPr>
        <w:t xml:space="preserve">Public-record risk read; not a substitute for third-party diligence.</w:t>
      </w:r>
    </w:p>
    <w:p>
      <w:pPr>
        <w:pStyle w:val="Heading1"/>
      </w:pPr>
      <w:r>
        <w:t xml:space="preserve">5.  Comparable Sales</w:t>
      </w:r>
    </w:p>
    <w:p>
      <w:r>
        <w:rPr>
          <w:i/>
          <w:iCs/>
          <w:color w:val="15803D"/>
          <w:sz w:val="17"/>
          <w:szCs w:val="17"/>
        </w:rPr>
        <w:t xml:space="preserve">RESIDENTIAL recorded sales from NYC DOF Rolling Sales. NOT institutional CRE transactions.</w:t>
      </w:r>
    </w:p>
    <w:p>
      <w:r>
        <w:rPr>
          <w:color w:val="0D2B3E"/>
          <w:sz w:val="20"/>
          <w:szCs w:val="20"/>
        </w:rPr>
        <w:t xml:space="preserve">144 qualifying residential recorded sales are in scope, at a median of $1,156/sq ft. The full comparable set is in Exhibit A.</w:t>
      </w:r>
    </w:p>
    <w:p>
      <w:pPr>
        <w:pStyle w:val="Heading1"/>
      </w:pPr>
      <w:r>
        <w:t xml:space="preserve">6.  Financial Analysis, Returns &amp; Sensitivity</w:t>
      </w:r>
    </w:p>
    <w:p>
      <w:pPr>
        <w:pBdr>
          <w:top w:val="dashed" w:color="8AABB8" w:sz="4" w:space="6"/>
          <w:bottom w:val="dashed" w:color="8AABB8" w:sz="4" w:space="6"/>
          <w:left w:val="dashed" w:color="8AABB8" w:sz="4" w:space="6"/>
          <w:right w:val="dashed" w:color="8AABB8" w:sz="4" w:space="6"/>
        </w:pBdr>
      </w:pPr>
      <w:r>
        <w:rPr>
          <w:b/>
          <w:bCs/>
          <w:color w:val="527082"/>
          <w:sz w:val="18"/>
          <w:szCs w:val="18"/>
        </w:rPr>
        <w:t xml:space="preserve">To be completed by the analyst: </w:t>
      </w:r>
      <w:r>
        <w:rPr>
          <w:i/>
          <w:iCs/>
          <w:color w:val="527082"/>
          <w:sz w:val="18"/>
          <w:szCs w:val="18"/>
        </w:rPr>
        <w:t xml:space="preserve">Underwriting model, yields, IRR/equity multiple, and a sensitivity table. KOANO does not source deal financials.</w:t>
      </w:r>
    </w:p>
    <w:p>
      <w:pPr>
        <w:pStyle w:val="Heading1"/>
      </w:pPr>
      <w:r>
        <w:t xml:space="preserve">7.  Business Plan</w:t>
      </w:r>
    </w:p>
    <w:p>
      <w:pPr>
        <w:pBdr>
          <w:top w:val="dashed" w:color="8AABB8" w:sz="4" w:space="6"/>
          <w:bottom w:val="dashed" w:color="8AABB8" w:sz="4" w:space="6"/>
          <w:left w:val="dashed" w:color="8AABB8" w:sz="4" w:space="6"/>
          <w:right w:val="dashed" w:color="8AABB8" w:sz="4" w:space="6"/>
        </w:pBdr>
      </w:pPr>
      <w:r>
        <w:rPr>
          <w:b/>
          <w:bCs/>
          <w:color w:val="527082"/>
          <w:sz w:val="18"/>
          <w:szCs w:val="18"/>
        </w:rPr>
        <w:t xml:space="preserve">To be completed by the analyst: </w:t>
      </w:r>
      <w:r>
        <w:rPr>
          <w:i/>
          <w:iCs/>
          <w:color w:val="527082"/>
          <w:sz w:val="18"/>
          <w:szCs w:val="18"/>
        </w:rPr>
        <w:t xml:space="preserve">Acquisition basis, capital plan, lease-up/reposition strategy, operating assumptions.</w:t>
      </w:r>
    </w:p>
    <w:p>
      <w:pPr>
        <w:pStyle w:val="Heading1"/>
      </w:pPr>
      <w:r>
        <w:t xml:space="preserve">8.  Exit Strategy</w:t>
      </w:r>
    </w:p>
    <w:p>
      <w:pPr>
        <w:pBdr>
          <w:top w:val="dashed" w:color="8AABB8" w:sz="4" w:space="6"/>
          <w:bottom w:val="dashed" w:color="8AABB8" w:sz="4" w:space="6"/>
          <w:left w:val="dashed" w:color="8AABB8" w:sz="4" w:space="6"/>
          <w:right w:val="dashed" w:color="8AABB8" w:sz="4" w:space="6"/>
        </w:pBdr>
      </w:pPr>
      <w:r>
        <w:rPr>
          <w:b/>
          <w:bCs/>
          <w:color w:val="527082"/>
          <w:sz w:val="18"/>
          <w:szCs w:val="18"/>
        </w:rPr>
        <w:t xml:space="preserve">To be completed by the analyst: </w:t>
      </w:r>
      <w:r>
        <w:rPr>
          <w:i/>
          <w:iCs/>
          <w:color w:val="527082"/>
          <w:sz w:val="18"/>
          <w:szCs w:val="18"/>
        </w:rPr>
        <w:t xml:space="preserve">Hold period, exit route, target exit pricing, buyer universe.</w:t>
      </w:r>
    </w:p>
    <w:p>
      <w:pPr>
        <w:pStyle w:val="Heading1"/>
      </w:pPr>
      <w:r>
        <w:t xml:space="preserve">9.  Key Terms</w:t>
      </w:r>
    </w:p>
    <w:p>
      <w:pPr>
        <w:pBdr>
          <w:top w:val="dashed" w:color="8AABB8" w:sz="4" w:space="6"/>
          <w:bottom w:val="dashed" w:color="8AABB8" w:sz="4" w:space="6"/>
          <w:left w:val="dashed" w:color="8AABB8" w:sz="4" w:space="6"/>
          <w:right w:val="dashed" w:color="8AABB8" w:sz="4" w:space="6"/>
        </w:pBdr>
      </w:pPr>
      <w:r>
        <w:rPr>
          <w:b/>
          <w:bCs/>
          <w:color w:val="527082"/>
          <w:sz w:val="18"/>
          <w:szCs w:val="18"/>
        </w:rPr>
        <w:t xml:space="preserve">To be completed by the analyst: </w:t>
      </w:r>
      <w:r>
        <w:rPr>
          <w:i/>
          <w:iCs/>
          <w:color w:val="527082"/>
          <w:sz w:val="18"/>
          <w:szCs w:val="18"/>
        </w:rPr>
        <w:t xml:space="preserve">Structure, price, financing, closing conditions, contingencies.</w:t>
      </w:r>
    </w:p>
    <w:p>
      <w:pPr>
        <w:pStyle w:val="Heading1"/>
        <w:pageBreakBefore/>
      </w:pPr>
      <w:r>
        <w:t xml:space="preserve">A.  Exhibit A: Comparable Recorded Sales (Full Set)</w:t>
      </w:r>
    </w:p>
    <w:p>
      <w:r>
        <w:rPr>
          <w:i/>
          <w:iCs/>
          <w:color w:val="15803D"/>
          <w:sz w:val="17"/>
          <w:szCs w:val="17"/>
        </w:rPr>
        <w:t xml:space="preserve">Residential recorded sales (NYC DOF Rolling Sales). Not institutional CRE comps.</w:t>
      </w:r>
    </w:p>
    <w:tbl>
      <w:tblPr>
        <w:tblW w:type="pct" w:w="100%"/>
        <w:tblBorders>
          <w:top w:val="single" w:color="6E8E9D" w:sz="4"/>
          <w:left w:val="none" w:color="FFFFFF" w:sz="0"/>
          <w:bottom w:val="single" w:color="D6EBF7" w:sz="2"/>
          <w:right w:val="none" w:color="FFFFFF" w:sz="0"/>
          <w:insideH w:val="single" w:color="D6EBF7" w:sz="2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color w:val="0D2B3E"/>
                <w:sz w:val="17"/>
                <w:szCs w:val="17"/>
              </w:rPr>
              <w:t xml:space="preserve">Address</w:t>
            </w:r>
          </w:p>
        </w:tc>
        <w:tc>
          <w:p>
            <w:r>
              <w:rPr>
                <w:b/>
                <w:bCs/>
                <w:color w:val="0D2B3E"/>
                <w:sz w:val="17"/>
                <w:szCs w:val="17"/>
              </w:rPr>
              <w:t xml:space="preserve">Sale date</w:t>
            </w:r>
          </w:p>
        </w:tc>
        <w:tc>
          <w:p>
            <w:r>
              <w:rPr>
                <w:b/>
                <w:bCs/>
                <w:color w:val="0D2B3E"/>
                <w:sz w:val="17"/>
                <w:szCs w:val="17"/>
              </w:rPr>
              <w:t xml:space="preserve">Sale price</w:t>
            </w:r>
          </w:p>
        </w:tc>
        <w:tc>
          <w:p>
            <w:r>
              <w:rPr>
                <w:b/>
                <w:bCs/>
                <w:color w:val="0D2B3E"/>
                <w:sz w:val="17"/>
                <w:szCs w:val="17"/>
              </w:rPr>
              <w:t xml:space="preserve">$/sq ft</w:t>
            </w:r>
          </w:p>
        </w:tc>
        <w:tc>
          <w:p>
            <w:r>
              <w:rPr>
                <w:b/>
                <w:bCs/>
                <w:color w:val="0D2B3E"/>
                <w:sz w:val="17"/>
                <w:szCs w:val="17"/>
              </w:rPr>
              <w:t xml:space="preserve">Sq ft</w:t>
            </w:r>
          </w:p>
        </w:tc>
        <w:tc>
          <w:p>
            <w:r>
              <w:rPr>
                <w:b/>
                <w:bCs/>
                <w:color w:val="0D2B3E"/>
                <w:sz w:val="17"/>
                <w:szCs w:val="17"/>
              </w:rPr>
              <w:t xml:space="preserve">Class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100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2025-01-15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$850,000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$600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1,200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101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2025-02-15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$865,000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$607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1,240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102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2025-03-15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$880,000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$614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1,280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103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2025-04-15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$895,000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$621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1,320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104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2025-05-15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$910,000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$628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1,360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105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2025-06-15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$925,000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$635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1,400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106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2025-07-15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$940,000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$642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1,440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107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2025-08-15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$955,000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$649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1,480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108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2025-09-15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$970,000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$656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1,520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109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2025-01-15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$985,000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$663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1,560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110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2025-02-15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$1,000,000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$670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1,600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111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2025-03-15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$1,015,000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$677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1,640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112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2025-04-15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$1,030,000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$684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1,680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113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2025-05-15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$1,045,000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$691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1,720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114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2025-06-15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$1,060,000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$698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1,760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115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2025-07-15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$1,075,000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$705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1,800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116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2025-08-15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$1,090,000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$712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1,840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117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2025-09-15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$1,105,000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$719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1,880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118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2025-01-15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$1,120,000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$726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1,920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119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2025-02-15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$1,135,000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$733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1,960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120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2025-03-15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$1,150,000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$740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121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2025-04-15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$1,165,000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$747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2,040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122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2025-05-15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$1,180,000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$754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2,080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123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2025-06-15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$1,195,000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$761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2,120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124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2025-07-15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$1,210,000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$768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2,160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125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2025-08-15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$1,225,000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$775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2,200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126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2025-09-15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$1,240,000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$782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2,240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127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2025-01-15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$1,255,000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$789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2,280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128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2025-02-15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$1,270,000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$796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2,320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129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2025-03-15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$1,285,000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$803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2,360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130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2025-04-15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$1,300,000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$810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2,400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131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2025-05-15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$1,315,000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$817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2,440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132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2025-06-15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$1,330,000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$824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2,480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133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2025-07-15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$1,345,000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$831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2,520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134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2025-08-15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$1,360,000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$838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2,560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135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2025-09-15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$1,375,000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$845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2,600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136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2025-01-15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$1,390,000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$852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2,640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137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2025-02-15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$1,405,000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$859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2,680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138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2025-03-15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$1,420,000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$866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2,720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139 Example Street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2025-04-15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$1,435,000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$873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2,760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C0</w:t>
            </w:r>
          </w:p>
        </w:tc>
      </w:tr>
    </w:tbl>
    <w:p>
      <w:r>
        <w:rPr>
          <w:i/>
          <w:iCs/>
          <w:color w:val="527082"/>
          <w:sz w:val="15"/>
          <w:szCs w:val="15"/>
        </w:rPr>
        <w:t xml:space="preserve">144 sales in scope.</w:t>
      </w:r>
    </w:p>
    <w:p>
      <w:pPr>
        <w:pStyle w:val="Heading1"/>
      </w:pPr>
      <w:r>
        <w:t xml:space="preserve">B.  Exhibit B: Verdict Math</w:t>
      </w:r>
    </w:p>
    <w:p>
      <w:r>
        <w:rPr>
          <w:color w:val="0D2B3E"/>
          <w:sz w:val="20"/>
          <w:szCs w:val="20"/>
        </w:rPr>
        <w:t xml:space="preserve">KOANO's verdict is a confidence-weighted vote across five specialist agents (method: confidence-weighted v1).</w:t>
      </w:r>
    </w:p>
    <w:tbl>
      <w:tblPr>
        <w:tblW w:type="pct" w:w="100%"/>
        <w:tblBorders>
          <w:top w:val="single" w:color="6E8E9D" w:sz="4"/>
          <w:left w:val="none" w:color="FFFFFF" w:sz="0"/>
          <w:bottom w:val="single" w:color="D6EBF7" w:sz="2"/>
          <w:right w:val="none" w:color="FFFFFF" w:sz="0"/>
          <w:insideH w:val="single" w:color="D6EBF7" w:sz="2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color w:val="0D2B3E"/>
                <w:sz w:val="17"/>
                <w:szCs w:val="17"/>
              </w:rPr>
              <w:t xml:space="preserve">Agent</w:t>
            </w:r>
          </w:p>
        </w:tc>
        <w:tc>
          <w:p>
            <w:r>
              <w:rPr>
                <w:b/>
                <w:bCs/>
                <w:color w:val="0D2B3E"/>
                <w:sz w:val="17"/>
                <w:szCs w:val="17"/>
              </w:rPr>
              <w:t xml:space="preserve">Verdict</w:t>
            </w:r>
          </w:p>
        </w:tc>
        <w:tc>
          <w:p>
            <w:r>
              <w:rPr>
                <w:b/>
                <w:bCs/>
                <w:color w:val="0D2B3E"/>
                <w:sz w:val="17"/>
                <w:szCs w:val="17"/>
              </w:rPr>
              <w:t xml:space="preserve">Confidence (weight)</w:t>
            </w:r>
          </w:p>
        </w:tc>
        <w:tc>
          <w:p>
            <w:r>
              <w:rPr>
                <w:b/>
                <w:bCs/>
                <w:color w:val="0D2B3E"/>
                <w:sz w:val="17"/>
                <w:szCs w:val="17"/>
              </w:rPr>
              <w:t xml:space="preserve">Direction</w:t>
            </w:r>
          </w:p>
        </w:tc>
        <w:tc>
          <w:p>
            <w:r>
              <w:rPr>
                <w:b/>
                <w:bCs/>
                <w:color w:val="0D2B3E"/>
                <w:sz w:val="17"/>
                <w:szCs w:val="17"/>
              </w:rPr>
              <w:t xml:space="preserve">Contribution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market-timing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hold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72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+0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infrastructure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buy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86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+172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demand-sentiment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buy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72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+144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risk-volatility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hold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72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+0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regulatory-policy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buy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86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+172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— Weighted score —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/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388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/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1.26</w:t>
            </w:r>
          </w:p>
        </w:tc>
      </w:tr>
    </w:tbl>
    <w:p>
      <w:r>
        <w:rPr>
          <w:i/>
          <w:iCs/>
          <w:color w:val="527082"/>
          <w:sz w:val="15"/>
          <w:szCs w:val="15"/>
        </w:rPr>
        <w:t xml:space="preserve">Weighted score 1.26 vs thresholds: buy ≥ 1, hold ≥ -0.3, wait ≥ -1.2 → BUY at confidence 74/100.</w:t>
      </w:r>
    </w:p>
    <w:p>
      <w:pPr>
        <w:pStyle w:val="Heading2"/>
      </w:pPr>
      <w:r>
        <w:t xml:space="preserve">Sources &amp; Provenance</w:t>
      </w:r>
    </w:p>
    <w:p>
      <w:r>
        <w:rPr>
          <w:color w:val="527082"/>
          <w:sz w:val="18"/>
          <w:szCs w:val="18"/>
        </w:rPr>
        <w:t xml:space="preserve">Every figure in this document was fetched live from an authoritative public source at generation time.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color w:val="0D2B3E"/>
                <w:sz w:val="17"/>
                <w:szCs w:val="17"/>
              </w:rPr>
              <w:t xml:space="preserve">Data</w:t>
            </w:r>
          </w:p>
        </w:tc>
        <w:tc>
          <w:p>
            <w:r>
              <w:rPr>
                <w:b/>
                <w:bCs/>
                <w:color w:val="0D2B3E"/>
                <w:sz w:val="17"/>
                <w:szCs w:val="17"/>
              </w:rPr>
              <w:t xml:space="preserve">Source</w:t>
            </w:r>
          </w:p>
        </w:tc>
        <w:tc>
          <w:p>
            <w:r>
              <w:rPr>
                <w:b/>
                <w:bCs/>
                <w:color w:val="0D2B3E"/>
                <w:sz w:val="17"/>
                <w:szCs w:val="17"/>
              </w:rPr>
              <w:t xml:space="preserve">Provenance</w:t>
            </w:r>
          </w:p>
        </w:tc>
      </w:tr>
      <w:tr>
        <w:tc>
          <w:p>
            <w:r>
              <w:rPr>
                <w:color w:val="0D2B3E"/>
                <w:sz w:val="16"/>
                <w:szCs w:val="16"/>
              </w:rPr>
              <w:t xml:space="preserve">Zoning / PLUTO</w:t>
            </w:r>
          </w:p>
        </w:tc>
        <w:tc>
          <w:p>
            <w:r>
              <w:rPr>
                <w:color w:val="527082"/>
                <w:sz w:val="16"/>
                <w:szCs w:val="16"/>
              </w:rPr>
              <w:t xml:space="preserve">NYC Open Data — MapPLUTO (64uk-42ks)</w:t>
            </w:r>
          </w:p>
        </w:tc>
        <w:tc>
          <w:p>
            <w:r>
              <w:rPr>
                <w:color w:val="15803D"/>
                <w:sz w:val="16"/>
                <w:szCs w:val="16"/>
              </w:rPr>
              <w:t xml:space="preserve">live</w:t>
            </w:r>
          </w:p>
        </w:tc>
      </w:tr>
      <w:tr>
        <w:tc>
          <w:p>
            <w:r>
              <w:rPr>
                <w:color w:val="0D2B3E"/>
                <w:sz w:val="16"/>
                <w:szCs w:val="16"/>
              </w:rPr>
              <w:t xml:space="preserve">Comparable sales</w:t>
            </w:r>
          </w:p>
        </w:tc>
        <w:tc>
          <w:p>
            <w:r>
              <w:rPr>
                <w:color w:val="527082"/>
                <w:sz w:val="16"/>
                <w:szCs w:val="16"/>
              </w:rPr>
              <w:t xml:space="preserve">NYC Open Data — DOF Rolling Sales (usep-8jbt)</w:t>
            </w:r>
          </w:p>
        </w:tc>
        <w:tc>
          <w:p>
            <w:r>
              <w:rPr>
                <w:color w:val="15803D"/>
                <w:sz w:val="16"/>
                <w:szCs w:val="16"/>
              </w:rPr>
              <w:t xml:space="preserve">live</w:t>
            </w:r>
          </w:p>
        </w:tc>
      </w:tr>
      <w:tr>
        <w:tc>
          <w:p>
            <w:r>
              <w:rPr>
                <w:color w:val="0D2B3E"/>
                <w:sz w:val="16"/>
                <w:szCs w:val="16"/>
              </w:rPr>
              <w:t xml:space="preserve">House Price Index</w:t>
            </w:r>
          </w:p>
        </w:tc>
        <w:tc>
          <w:p>
            <w:r>
              <w:rPr>
                <w:color w:val="527082"/>
                <w:sz w:val="16"/>
                <w:szCs w:val="16"/>
              </w:rPr>
              <w:t xml:space="preserve">FHFA HPI</w:t>
            </w:r>
          </w:p>
        </w:tc>
        <w:tc>
          <w:p>
            <w:r>
              <w:rPr>
                <w:color w:val="15803D"/>
                <w:sz w:val="16"/>
                <w:szCs w:val="16"/>
              </w:rPr>
              <w:t xml:space="preserve">live</w:t>
            </w:r>
          </w:p>
        </w:tc>
      </w:tr>
      <w:tr>
        <w:tc>
          <w:p>
            <w:r>
              <w:rPr>
                <w:color w:val="0D2B3E"/>
                <w:sz w:val="16"/>
                <w:szCs w:val="16"/>
              </w:rPr>
              <w:t xml:space="preserve">Building violations</w:t>
            </w:r>
          </w:p>
        </w:tc>
        <w:tc>
          <w:p>
            <w:r>
              <w:rPr>
                <w:color w:val="527082"/>
                <w:sz w:val="16"/>
                <w:szCs w:val="16"/>
              </w:rPr>
              <w:t xml:space="preserve">NYC Open Data — HPD / ECB / DOB</w:t>
            </w:r>
          </w:p>
        </w:tc>
        <w:tc>
          <w:p>
            <w:r>
              <w:rPr>
                <w:color w:val="15803D"/>
                <w:sz w:val="16"/>
                <w:szCs w:val="16"/>
              </w:rPr>
              <w:t xml:space="preserve">live</w:t>
            </w:r>
          </w:p>
        </w:tc>
      </w:tr>
      <w:tr>
        <w:tc>
          <w:p>
            <w:r>
              <w:rPr>
                <w:color w:val="0D2B3E"/>
                <w:sz w:val="16"/>
                <w:szCs w:val="16"/>
              </w:rPr>
              <w:t xml:space="preserve">Flood zone</w:t>
            </w:r>
          </w:p>
        </w:tc>
        <w:tc>
          <w:p>
            <w:r>
              <w:rPr>
                <w:color w:val="527082"/>
                <w:sz w:val="16"/>
                <w:szCs w:val="16"/>
              </w:rPr>
              <w:t xml:space="preserve">FEMA National Flood Hazard Layer</w:t>
            </w:r>
          </w:p>
        </w:tc>
        <w:tc>
          <w:p>
            <w:r>
              <w:rPr>
                <w:color w:val="15803D"/>
                <w:sz w:val="16"/>
                <w:szCs w:val="16"/>
              </w:rPr>
              <w:t xml:space="preserve">live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BF7" w:sz="4" w:space="4"/>
      </w:pBdr>
      <w:tabs>
        <w:tab w:val="right" w:pos="9026"/>
      </w:tabs>
    </w:pPr>
    <w:r>
      <w:rPr>
        <w:color w:val="527082"/>
        <w:sz w:val="13"/>
        <w:szCs w:val="13"/>
      </w:rPr>
      <w:t xml:space="preserve">Informational only. Generated from public data by automated analysis. Not professional real estate, legal, tax, or appraisal advice.</w:t>
    </w:r>
    <w:r>
      <w:rPr>
        <w:sz w:val="13"/>
        <w:szCs w:val="13"/>
      </w:rPr>
      <w:t xml:space="preserve">	</w:t>
    </w:r>
    <w:r>
      <w:rPr>
        <w:color w:val="527082"/>
        <w:sz w:val="13"/>
        <w:szCs w:val="13"/>
      </w:rPr>
      <w:t xml:space="preserve">Page </w:t>
    </w:r>
    <w:r>
      <w:rPr>
        <w:color w:val="527082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527082"/>
        <w:sz w:val="13"/>
        <w:szCs w:val="13"/>
      </w:rPr>
      <w:t xml:space="preserve"> of </w:t>
    </w:r>
    <w:r>
      <w:rPr>
        <w:color w:val="527082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2B3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pPr>
      <w:spacing w:after="120"/>
    </w:pPr>
    <w:rPr>
      <w:rFonts w:ascii="Arial" w:cs="Arial" w:eastAsia="Arial" w:hAnsi="Arial"/>
      <w:b/>
      <w:bCs/>
      <w:color w:val="0D2B3E"/>
      <w:sz w:val="60"/>
      <w:szCs w:val="60"/>
    </w:rPr>
  </w:style>
  <w:style w:type="paragraph" w:styleId="Heading1">
    <w:name w:val="Heading 1"/>
    <w:basedOn w:val="Normal"/>
    <w:next w:val="Normal"/>
    <w:qFormat/>
    <w:pPr>
      <w:pBdr>
        <w:bottom w:val="single" w:color="D6EBF7" w:sz="6" w:space="2"/>
      </w:pBdr>
      <w:spacing w:after="80" w:before="260"/>
    </w:pPr>
    <w:rPr>
      <w:rFonts w:ascii="Arial" w:cs="Arial" w:eastAsia="Arial" w:hAnsi="Arial"/>
      <w:b/>
      <w:bCs/>
      <w:color w:val="0D2B3E"/>
      <w:sz w:val="28"/>
      <w:szCs w:val="28"/>
    </w:rPr>
  </w:style>
  <w:style w:type="paragraph" w:styleId="Heading2">
    <w:name w:val="Heading 2"/>
    <w:basedOn w:val="Normal"/>
    <w:next w:val="Normal"/>
    <w:qFormat/>
    <w:pPr>
      <w:pBdr>
        <w:bottom w:val="single" w:color="D6EBF7" w:sz="6" w:space="2"/>
      </w:pBdr>
      <w:spacing w:after="80" w:before="220"/>
    </w:pPr>
    <w:rPr>
      <w:rFonts w:ascii="Arial" w:cs="Arial" w:eastAsia="Arial" w:hAnsi="Arial"/>
      <w:b/>
      <w:bCs/>
      <w:color w:val="0D2B3E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Investment Committee Memo</dc:title>
  <dc:creator>KOANO</dc:creator>
  <cp:lastModifiedBy>Un-named</cp:lastModifiedBy>
  <cp:revision>1</cp:revision>
  <dcterms:created xsi:type="dcterms:W3CDTF">2026-10-22T23:27:19.357Z</dcterms:created>
  <dcterms:modified xsi:type="dcterms:W3CDTF">2026-10-22T23:27:19.357Z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