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Wide-Scale Sampling with Hard-Argmin Selection and CBF Projection for Safe Quadrotor Navigation in Narrow Passages</w:t>
      </w:r>
    </w:p>
    <w:p>
      <w:pPr>
        <w:jc w:val="center"/>
      </w:pPr>
      <w:r>
        <w:rPr>
          <w:i/>
        </w:rPr>
        <w:t>Cover Page — Author Information</w:t>
      </w:r>
    </w:p>
    <w:p/>
    <w:p>
      <w:r>
        <w:rPr>
          <w:b/>
        </w:rPr>
        <w:t xml:space="preserve">Submitted to: </w:t>
      </w:r>
      <w:r>
        <w:t>International Journal of Robotics and Automation (IJRA), ACTA Press</w:t>
      </w:r>
    </w:p>
    <w:p>
      <w:r>
        <w:rPr>
          <w:b/>
        </w:rPr>
        <w:t xml:space="preserve">Manuscript type: </w:t>
      </w:r>
      <w:r>
        <w:t>Regular Paper</w:t>
      </w:r>
    </w:p>
    <w:p>
      <w:r>
        <w:rPr>
          <w:b/>
        </w:rPr>
        <w:t xml:space="preserve">Date: </w:t>
      </w:r>
      <w:r>
        <w:t>June 2026</w:t>
      </w:r>
    </w:p>
    <w:p/>
    <w:p>
      <w:pPr>
        <w:pStyle w:val="Heading2"/>
      </w:pPr>
      <w:r>
        <w:t>Abstract</w:t>
      </w:r>
    </w:p>
    <w:p>
      <w:r>
        <w:t>A common implementation of sampling-based NMPC for quadrotor obstacle avoidance draws candidate commands from a narrow Gaussian around a PD nominal. In tight passages, this nominal can point toward the conservative composite-barrier boundary rather than through the actual geometric gap. Adding more samples close to that nominal does not address this failure mode --- it is a candidate-generation problem, not a solver problem. TSH-NMPC widens the sampling distribution (sigma = 5 N around the PD nominal at K = 10), selects the lowest-cost rollout by hard argmin, and projects the result through a DT-CBF quadratic program before execution. On the narrow-passage benchmark, the wide-scale sampler reached 97-99% success, while the narrow-scale PD-Gaussian baseline reached 64-70%. Under +50% mass mismatch the baseline failed in all 40 trials; the wide-scale variants retained 77.5%-82.5% success. Compared with CasADi+IPOPT, TSH-NMPC matched the binary success rate at roughly 6 ms per call with a fixed O(K*S) rollout budget, although CasADi retained lower terminal error. A learned-proposal ablation reduced success from 97.7% to 88.7%, suggesting that coverage mattered more than prediction accuracy in this setting.</w:t>
      </w:r>
    </w:p>
    <w:p/>
    <w:p>
      <w:pPr>
        <w:pStyle w:val="Heading2"/>
      </w:pPr>
      <w:r>
        <w:t>Authors</w:t>
      </w:r>
    </w:p>
    <w:p>
      <w:r>
        <w:rPr>
          <w:b/>
        </w:rPr>
        <w:t>Zhuang Shao*</w:t>
      </w:r>
      <w:r>
        <w:rPr>
          <w:i/>
        </w:rPr>
        <w:t xml:space="preserve">  [affiliation 1]</w:t>
      </w:r>
    </w:p>
    <w:p>
      <w:pPr>
        <w:pStyle w:val="ListBullet"/>
      </w:pPr>
      <w:r>
        <w:t>Email: shaozhuang@crpower.com.cn</w:t>
      </w:r>
    </w:p>
    <w:p>
      <w:pPr>
        <w:pStyle w:val="ListBullet"/>
      </w:pPr>
      <w:r>
        <w:t>ORCID: 0000-0003-2496-0797</w:t>
      </w:r>
    </w:p>
    <w:p>
      <w:r>
        <w:rPr>
          <w:b/>
        </w:rPr>
        <w:t>Lijun Lei</w:t>
      </w:r>
      <w:r>
        <w:rPr>
          <w:i/>
        </w:rPr>
        <w:t xml:space="preserve">  [affiliation 2]</w:t>
      </w:r>
    </w:p>
    <w:p>
      <w:pPr>
        <w:pStyle w:val="ListBullet"/>
      </w:pPr>
      <w:r>
        <w:t>Email: leilijun6@crpower.com.cn</w:t>
      </w:r>
    </w:p>
    <w:p>
      <w:r>
        <w:rPr>
          <w:b/>
        </w:rPr>
        <w:t>Peng Wang</w:t>
      </w:r>
      <w:r>
        <w:rPr>
          <w:i/>
        </w:rPr>
        <w:t xml:space="preserve">  [affiliation 3]</w:t>
      </w:r>
    </w:p>
    <w:p>
      <w:pPr>
        <w:pStyle w:val="ListBullet"/>
      </w:pPr>
      <w:r>
        <w:t>Email: wangpeng@ncwu.edu.cn</w:t>
      </w:r>
    </w:p>
    <w:p>
      <w:r>
        <w:rPr>
          <w:b/>
        </w:rPr>
        <w:t>Liang Zheng</w:t>
      </w:r>
      <w:r>
        <w:rPr>
          <w:i/>
        </w:rPr>
        <w:t xml:space="preserve">  [affiliation 2]</w:t>
      </w:r>
    </w:p>
    <w:p>
      <w:pPr>
        <w:pStyle w:val="ListBullet"/>
      </w:pPr>
      <w:r>
        <w:t>Email: zhengliang35@crpower.com.cn</w:t>
      </w:r>
    </w:p>
    <w:p>
      <w:r>
        <w:rPr>
          <w:b/>
        </w:rPr>
        <w:t>Jie Zhou</w:t>
      </w:r>
      <w:r>
        <w:rPr>
          <w:i/>
        </w:rPr>
        <w:t xml:space="preserve">  [affiliation 2]</w:t>
      </w:r>
    </w:p>
    <w:p>
      <w:pPr>
        <w:pStyle w:val="ListBullet"/>
      </w:pPr>
      <w:r>
        <w:t>Email: zhoujie365@crpower.com.cn</w:t>
      </w:r>
    </w:p>
    <w:p/>
    <w:p>
      <w:r>
        <w:rPr>
          <w:i/>
        </w:rPr>
        <w:t>* Corresponding author</w:t>
      </w:r>
    </w:p>
    <w:p/>
    <w:p>
      <w:pPr>
        <w:pStyle w:val="Heading2"/>
      </w:pPr>
      <w:r>
        <w:t>Affiliations</w:t>
      </w:r>
    </w:p>
    <w:p>
      <w:r>
        <w:rPr>
          <w:b/>
        </w:rPr>
        <w:t xml:space="preserve">[1] </w:t>
      </w:r>
      <w:r>
        <w:t>China Resources Power Technology Research Institute Co., Ltd., Shenzhen 518000, Guangdong Province, China</w:t>
      </w:r>
    </w:p>
    <w:p>
      <w:r>
        <w:rPr>
          <w:b/>
        </w:rPr>
        <w:t xml:space="preserve">[2] </w:t>
      </w:r>
      <w:r>
        <w:t>Rundian Energy Science and Technology Co., Ltd., Zhengzhou 450052, Henan Province, China</w:t>
      </w:r>
    </w:p>
    <w:p>
      <w:r>
        <w:rPr>
          <w:b/>
        </w:rPr>
        <w:t xml:space="preserve">[3] </w:t>
      </w:r>
      <w:r>
        <w:t>North China University of Water Resources and Electric Power, Zhengzhou 450046, Henan Province, China</w:t>
      </w:r>
    </w:p>
    <w:p/>
    <w:p>
      <w:pPr>
        <w:pStyle w:val="Heading2"/>
      </w:pPr>
      <w:r>
        <w:t>Declarations</w:t>
      </w:r>
    </w:p>
    <w:p>
      <w:r>
        <w:rPr>
          <w:b/>
        </w:rPr>
        <w:t xml:space="preserve">Conflict of interest: </w:t>
      </w:r>
      <w:r>
        <w:t>The authors declare no conflict of interest.</w:t>
      </w:r>
    </w:p>
    <w:p>
      <w:r>
        <w:rPr>
          <w:b/>
        </w:rPr>
        <w:t xml:space="preserve">Funding: </w:t>
      </w:r>
      <w:r>
        <w:t>This work was supported by an internal research program of China Resources Power Technology Research Institute Co., Ltd.</w:t>
      </w:r>
    </w:p>
    <w:p>
      <w:r>
        <w:rPr>
          <w:b/>
        </w:rPr>
        <w:t xml:space="preserve">Data availability: </w:t>
      </w:r>
      <w:r>
        <w:t>The experimental logs, plotting scripts, and implementation code are publicly available at https://github.com/VickylastShao/CBF-Projected-Hard-Argmin-Sampling-for-Safe-Quadrotor-Navigation</w:t>
      </w:r>
    </w:p>
    <w:p>
      <w:r>
        <w:rPr>
          <w:b/>
        </w:rPr>
        <w:t xml:space="preserve">Author contributions: </w:t>
      </w:r>
      <w:r>
        <w:t>Z. Shao: Conceptualization, Methodology, Software, Formal analysis, Writing --- original draft. L. Lei: Validation, Experimental design, Writing --- review and editing. P. Wang: Validation, Writing --- review and editing. L. Zheng: Visualization, Data curation. J. Zhou: Supervision, Project administration, Writing --- review and editing. All authors approved the final manuscript.</w:t>
      </w:r>
    </w:p>
    <w:p>
      <w:r>
        <w:br w:type="page"/>
      </w:r>
    </w:p>
    <w:p>
      <w:pPr>
        <w:pStyle w:val="Heading2"/>
      </w:pPr>
      <w:r>
        <w:t>Suggested Reviewers</w:t>
      </w:r>
    </w:p>
    <w:p>
      <w:r>
        <w:t>The following researchers have substantial expertise in nonlinear control, model predictive control, and autonomous systems, and have not collaborated with any author of this manuscript within the past three years.</w:t>
      </w:r>
    </w:p>
    <w:p/>
    <w:p>
      <w:r>
        <w:rPr>
          <w:b/>
        </w:rPr>
        <w:t>1. Prof. Jianxin Zhou</w:t>
      </w:r>
    </w:p>
    <w:p>
      <w:pPr>
        <w:pStyle w:val="ListBullet"/>
      </w:pPr>
      <w:r>
        <w:t>Email: zjx@seu.edu.cn</w:t>
      </w:r>
    </w:p>
    <w:p>
      <w:pPr>
        <w:pStyle w:val="ListBullet"/>
      </w:pPr>
      <w:r>
        <w:t>Affiliation: School of Automation, Southeast University, Nanjing, China</w:t>
      </w:r>
    </w:p>
    <w:p>
      <w:pPr>
        <w:pStyle w:val="ListBullet"/>
      </w:pPr>
      <w:r>
        <w:t>Expertise: Nonlinear control, predictive control, unmanned aerial vehicle systems</w:t>
      </w:r>
    </w:p>
    <w:p/>
    <w:p>
      <w:r>
        <w:rPr>
          <w:b/>
        </w:rPr>
        <w:t>2. Prof. Zhenlong Wu</w:t>
      </w:r>
    </w:p>
    <w:p>
      <w:pPr>
        <w:pStyle w:val="ListBullet"/>
      </w:pPr>
      <w:r>
        <w:t>Email: wuzhenlong2020@zzu.edu.cn</w:t>
      </w:r>
    </w:p>
    <w:p>
      <w:pPr>
        <w:pStyle w:val="ListBullet"/>
      </w:pPr>
      <w:r>
        <w:t>Affiliation: School of Electrical and Information Engineering, Zhengzhou University, Zhengzhou, China</w:t>
      </w:r>
    </w:p>
    <w:p>
      <w:pPr>
        <w:pStyle w:val="ListBullet"/>
      </w:pPr>
      <w:r>
        <w:t>Expertise: Robust control, model predictive control, industrial automation</w:t>
      </w:r>
    </w:p>
    <w:p/>
    <w:p>
      <w:r>
        <w:rPr>
          <w:b/>
        </w:rPr>
        <w:t>3. Prof. Cong Yu</w:t>
      </w:r>
    </w:p>
    <w:p>
      <w:pPr>
        <w:pStyle w:val="ListBullet"/>
      </w:pPr>
      <w:r>
        <w:t>Email: congy@jhun.edu.cn</w:t>
      </w:r>
    </w:p>
    <w:p>
      <w:pPr>
        <w:pStyle w:val="ListBullet"/>
      </w:pPr>
      <w:r>
        <w:t>Affiliation: Jianghan University, Wuhan, China</w:t>
      </w:r>
    </w:p>
    <w:p>
      <w:pPr>
        <w:pStyle w:val="ListBullet"/>
      </w:pPr>
      <w:r>
        <w:t>Expertise: Control theory, nonlinear systems, robotics</w:t>
      </w:r>
    </w:p>
    <w:p/>
    <w:p>
      <w:r>
        <w:rPr>
          <w:b/>
        </w:rPr>
        <w:t>4. Prof. Hui Gu</w:t>
      </w:r>
    </w:p>
    <w:p>
      <w:pPr>
        <w:pStyle w:val="ListBullet"/>
      </w:pPr>
      <w:r>
        <w:t>Email: guhuini@126.com</w:t>
      </w:r>
    </w:p>
    <w:p>
      <w:pPr>
        <w:pStyle w:val="ListBullet"/>
      </w:pPr>
      <w:r>
        <w:t>Affiliation: School of Automation, Nanjing University of Science and Technology, Nanjing, China</w:t>
      </w:r>
    </w:p>
    <w:p>
      <w:pPr>
        <w:pStyle w:val="ListBullet"/>
      </w:pPr>
      <w:r>
        <w:t>Expertise: Model predictive control, motion planning, autonomous systems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