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2.png" ContentType="image/png"/>
  <ns0:Override PartName="/word/media/rId71.png" ContentType="image/png"/>
  <ns0:Override PartName="/word/media/rId75.png" ContentType="image/png"/>
  <ns0:Override PartName="/word/media/rId56.png" ContentType="image/png"/>
  <ns0:Override PartName="/word/media/rId48.png" ContentType="image/png"/>
  <ns0:Override PartName="/word/media/rId52.png" ContentType="image/png"/>
  <ns0:Override PartName="/word/media/rId67.png" ContentType="image/png"/>
  <ns0:Override PartName="/word/media/rId61.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highlight w:val="yellow"/>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HOCBF without GP correction records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violating samples among 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samples from six mismatch scenarios. The predeclared tune/test rule selects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resulting GP-mean filter and an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 rejections on held-out seeds. By contrast, the implemented full-margin endpoint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highlight w:val="yellow"/>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highlight w:val="yellow"/>
        </w:rPr>
        <w:t>3</w:t>
      </w:r>
      <w:r>
        <w:rPr>
          <w:rFonts w:ascii="Times New Roman" w:hAnsi="Times New Roman" w:eastAsia="Times New Roman" w:cs="Times New Roman"/>
          <w:sz w:val="20"/>
          <w:szCs w:val="20"/>
          <w:highlight w:val="yellow"/>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highlight w:val="yellow"/>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highlight w:val="yellow"/>
        </w:rPr>
        <w:t xml:space="preserve">Downstream safety-filter architecture for boiler-turbine process control.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highlight w:val="yellow"/>
        </w:rPr>
        <w:t xml:space="preserve">Commissioning-calibrated robustness factor.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scalar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highlight w:val="yellow"/>
        </w:rPr>
        <w:t xml:space="preserve">Simulation validation and measured-operation evidence.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highlight w:val="yellow"/>
        </w:rPr>
        <w:t>Control barrier functions enforce forward invariance through QP-based control projection</w:t>
      </w:r>
      <w:r>
        <w:rPr>
          <w:rFonts w:ascii="Times New Roman" w:hAnsi="Times New Roman" w:eastAsia="Times New Roman" w:cs="Times New Roman"/>
          <w:sz w:val="20"/>
          <w:szCs w:val="20"/>
          <w:vertAlign w:val="superscript"/>
          <w:highlight w:val="yellow"/>
        </w:rPr>
        <w:t>3,24</w:t>
      </w:r>
      <w:r>
        <w:rPr>
          <w:rFonts w:ascii="Times New Roman" w:hAnsi="Times New Roman" w:eastAsia="Times New Roman" w:cs="Times New Roman"/>
          <w:sz w:val="20"/>
          <w:szCs w:val="20"/>
          <w:highlight w:val="yellow"/>
        </w:rPr>
        <w:t>. HOCBFs extend this idea to high-relative-degree constraints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highlight w:val="yellow"/>
        </w:rPr>
        <w:t>25–27</w:t>
      </w:r>
      <w:r>
        <w:rPr>
          <w:rFonts w:ascii="Times New Roman" w:hAnsi="Times New Roman" w:eastAsia="Times New Roman" w:cs="Times New Roman"/>
          <w:sz w:val="20"/>
          <w:szCs w:val="20"/>
          <w:highlight w:val="yellow"/>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highlight w:val="yellow"/>
        </w:rPr>
        <w:t>28</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highlight w:val="yellow"/>
        </w:rPr>
        <w:t>29</w:t>
      </w:r>
      <w:r>
        <w:rPr>
          <w:rFonts w:ascii="Times New Roman" w:hAnsi="Times New Roman" w:eastAsia="Times New Roman" w:cs="Times New Roman"/>
          <w:sz w:val="20"/>
          <w:szCs w:val="20"/>
          <w:highlight w:val="yellow"/>
        </w:rPr>
        <w:t>, sampled-data CBFs address the gap between continuous-time design and discrete-time implementation</w:t>
      </w:r>
      <w:r>
        <w:rPr>
          <w:rFonts w:ascii="Times New Roman" w:hAnsi="Times New Roman" w:eastAsia="Times New Roman" w:cs="Times New Roman"/>
          <w:sz w:val="20"/>
          <w:szCs w:val="20"/>
          <w:vertAlign w:val="superscript"/>
          <w:highlight w:val="yellow"/>
        </w:rPr>
        <w:t>30</w:t>
      </w:r>
      <w:r>
        <w:rPr>
          <w:rFonts w:ascii="Times New Roman" w:hAnsi="Times New Roman" w:eastAsia="Times New Roman" w:cs="Times New Roman"/>
          <w:sz w:val="20"/>
          <w:szCs w:val="20"/>
          <w:highlight w:val="yellow"/>
        </w:rPr>
        <w:t>, and recent stochastic discrete-time CBF work studies robustness under uncertainty</w:t>
      </w:r>
      <w:r>
        <w:rPr>
          <w:rFonts w:ascii="Times New Roman" w:hAnsi="Times New Roman" w:eastAsia="Times New Roman" w:cs="Times New Roman"/>
          <w:sz w:val="20"/>
          <w:szCs w:val="20"/>
          <w:vertAlign w:val="superscript"/>
          <w:highlight w:val="yellow"/>
        </w:rPr>
        <w:t>31</w:t>
      </w:r>
      <w:r>
        <w:rPr>
          <w:rFonts w:ascii="Times New Roman" w:hAnsi="Times New Roman" w:eastAsia="Times New Roman" w:cs="Times New Roman"/>
          <w:sz w:val="20"/>
          <w:szCs w:val="20"/>
          <w:highlight w:val="yellow"/>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highlight w:val="yellow"/>
        </w:rPr>
        <w:t>For high-order constraints, the comparison is narrower. Aali and Liu</w:t>
      </w:r>
      <w:r>
        <w:rPr>
          <w:rFonts w:ascii="Times New Roman" w:hAnsi="Times New Roman" w:eastAsia="Times New Roman" w:cs="Times New Roman"/>
          <w:sz w:val="20"/>
          <w:szCs w:val="20"/>
          <w:vertAlign w:val="superscript"/>
          <w:highlight w:val="yellow"/>
        </w:rPr>
        <w:t>10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highlight w:val="yellow"/>
        </w:rPr>
        <w:t>11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highlight w:val="yellow"/>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summarizes the overlay architecture. The upstream controller produces a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around the LQR-stabilized equilibrium controller, and the safety filter returns the nearest admissible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normalized deviation command satisfies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With the physical per-cycle command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exp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highlight w:val="yellow"/>
                      </w:rPr>
                      <m:t>ξ</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highlight w:val="yellow"/>
        </w:rPr>
        <w:t xml:space="preserve">Its forward-Euler update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benchmark constraint definitions alongside the principal GP, QP, fallback, and runtime settings. Field-specific direct bounds are reported with the plant-controller evidence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1. </w:t>
      </w:r>
      <w:r>
        <w:rPr>
          <w:rFonts w:ascii="Times New Roman" w:hAnsi="Times New Roman" w:eastAsia="Times New Roman" w:cs="Times New Roman"/>
          <w:sz w:val="20"/>
          <w:szCs w:val="20"/>
          <w:highlight w:val="yellow"/>
        </w:rPr>
        <w:t xml:space="preserve">Benchmark constraint definitions and principal implementation settings used by the RoCBF-SF safety filter. Field-specific direct bounds are reported separately with the plant-controller evidence.</w:t>
      </w:r>
    </w:p>
    <w:tbl>
      <w:tblPr>
        <w:tblStyle w:val="Table"/>
        <w:tblW w:type="dxa" w:w="8500"/>
        <w:tblLook w:firstRow="1" w:lastRow="0" w:firstColumn="0" w:lastColumn="0" w:noHBand="0" w:noVBand="0" w:val="0020"/>
        <w:tblCaption w:val="Table 1. Benchmark constraint definitions and principal implementation settings used by the RoCBF-SF safety filter. Field-specific direct bounds are reported separately with the plant-controller evidence."/>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Physical commands are reconstructed from normalized</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18"/>
                <w:szCs w:val="18"/>
                <w:highlight w:val="yellow"/>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pressure constraint</w:t>
            </w:r>
          </w:p>
        </w:tc>
        <w:tc>
          <w:tcPr>
            <w:tcW w:w="2200" w:type="dxa"/>
            <w:tcBorders>
              <w:top w:val="nil"/>
              <w:bottom w:val="nil"/>
              <w:left w:val="nil"/>
              <w:right w:val="nil"/>
              <w:insideH w:val="nil"/>
              <w:insideV w:val="nil"/>
            </w:tcBorders>
          </w:tcPr>
          <w:p>
            <w:pPr>
              <w:pStyle w:val="13"/>
              <w:jc w:val="left"/>
            </w:pP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18"/>
                <w:szCs w:val="18"/>
                <w:highlight w:val="yellow"/>
              </w:rPr>
              <w:t xml:space="preserve"> MPa;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enthalpy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Range 2670–2830 kJ/kg;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power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Band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18"/>
                <w:szCs w:val="18"/>
                <w:highlight w:val="yellow"/>
              </w:rPr>
              <w:t xml:space="preserve"> MW;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highlight w:val="yellow"/>
        </w:rPr>
        <w:t xml:space="preserve">Build the mean-corrected command-level relative-degree-two HOCBF constraints.</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highlight w:val="yellow"/>
        </w:rPr>
        <w:t xml:space="preserve">Apply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highlight w:val="yellow"/>
        </w:rPr>
        <w:t xml:space="preserve">Notation summary.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benchmark state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state. The physical command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while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normalized command deviation optimized by the safety filter. The upstream controller proposes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command. The GP-mean-corrected HOCBF rows are written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reserved for the no-GP nominal-model ablation. The term</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compositional GP-HOCBF margin,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commissioning factor multiplying that margin.</w:t>
      </w:r>
    </w:p>
    <w:p>
      <w:pPr>
        <w:pStyle w:val="3"/>
        <w:jc w:val="left"/>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Sub>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up>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full nominal predictor uses all seven states and all three command deviations;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highlight w:val="yellow"/>
        </w:rPr>
        <w:t xml:space="preserve">Operating-point interpretation.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denotes the complete safety-filter design in Fig.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implemented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highlight w:val="yellow"/>
        </w:rPr>
        <w:t xml:space="preserve">The benchmark pressure output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0.13</m:t>
        </m:r>
        <m:sSubSup>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0.882</m:t>
            </m:r>
          </m:sup>
        </m:sSubSup>
      </m:oMath>
      <w:r>
        <w:rPr>
          <w:rFonts w:ascii="Times New Roman" w:hAnsi="Times New Roman" w:eastAsia="Times New Roman" w:cs="Times New Roman"/>
          <w:sz w:val="20"/>
          <w:szCs w:val="20"/>
          <w:highlight w:val="yellow"/>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2670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2830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e>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&amp;</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(6)</w:t>
            </w:r>
          </w:p>
        </w:tc>
      </w:tr>
    </w:tbl>
    <w:p>
      <w:pPr>
        <w:pStyle w:val="11"/>
        <w:jc w:val="left"/>
        <w:ind w:firstLine="420"/>
      </w:pPr>
      <w:r>
        <w:rPr>
          <w:rFonts w:ascii="Times New Roman" w:hAnsi="Times New Roman" w:eastAsia="Times New Roman" w:cs="Times New Roman"/>
          <w:sz w:val="20"/>
          <w:szCs w:val="20"/>
          <w:highlight w:val="yellow"/>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(7)</w:t>
            </w:r>
          </w:p>
        </w:tc>
      </w:tr>
    </w:tbl>
    <w:p>
      <w:pPr>
        <w:pStyle w:val="11"/>
        <w:jc w:val="left"/>
        <w:ind w:firstLine="420"/>
      </w:pPr>
      <w:r>
        <w:rPr>
          <w:rFonts w:ascii="Times New Roman" w:hAnsi="Times New Roman" w:eastAsia="Times New Roman" w:cs="Times New Roman"/>
          <w:sz w:val="20"/>
          <w:szCs w:val="20"/>
          <w:highlight w:val="yellow"/>
        </w:rPr>
        <w:t xml:space="preserve">For the six barriers indexed by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c</m:t>
        </m:r>
      </m:oMath>
      <w:r>
        <w:rPr>
          <w:rFonts w:ascii="Times New Roman" w:hAnsi="Times New Roman" w:eastAsia="Times New Roman" w:cs="Times New Roman"/>
          <w:sz w:val="20"/>
          <w:szCs w:val="20"/>
          <w:highlight w:val="yellow"/>
        </w:rPr>
        <w:t xml:space="preserve">, with relative degree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oMath>
      <w:r>
        <w:rPr>
          <w:rFonts w:ascii="Times New Roman" w:hAnsi="Times New Roman" w:eastAsia="Times New Roman" w:cs="Times New Roman"/>
          <w:sz w:val="20"/>
          <w:szCs w:val="20"/>
          <w:highlight w:val="yellow"/>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m:rPr>
                    <m:scr m:val="script"/>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limLow>
                  <m:e>
                    <m:limUpp>
                      <m:e>
                        <m:r>
                          <m:rPr>
                            <m:sty m:val="p"/>
                          </m:rPr>
                          <w:rPr>
                            <w:rFonts w:ascii="Times New Roman" w:hAnsi="Times New Roman" w:eastAsia="Times New Roman" w:cs="Times New Roman"/>
                            <w:highlight w:val="yellow"/>
                          </w:rPr>
                          <m:t>⋂</m:t>
                        </m:r>
                      </m:e>
                      <m:lim>
                        <m:r>
                          <w:rPr>
                            <w:rFonts w:ascii="Times New Roman" w:hAnsi="Times New Roman" w:eastAsia="Times New Roman" w:cs="Times New Roman"/>
                            <w:highlight w:val="yellow"/>
                          </w:rPr>
                          <m:t>6</m:t>
                        </m:r>
                      </m:lim>
                    </m:limUpp>
                  </m:e>
                  <m:lim>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Low>
                <m:limLow>
                  <m:e>
                    <m:limUpp>
                      <m:e>
                        <m:r>
                          <m:rPr>
                            <m:sty m:val="p"/>
                          </m:rPr>
                          <w:rPr>
                            <w:rFonts w:ascii="Times New Roman" w:hAnsi="Times New Roman" w:eastAsia="Times New Roman" w:cs="Times New Roman"/>
                            <w:highlight w:val="yellow"/>
                          </w:rPr>
                          <m:t>⋂</m:t>
                        </m:r>
                      </m:e>
                      <m:lim>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Upp>
                  </m:e>
                  <m:lim>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lim>
                </m:limLow>
                <m:sSub>
                  <m:e>
                    <m:r>
                      <m:rPr>
                        <m:scr m:val="script"/>
                        <m:sty m:val="p"/>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ind w:firstLine="420"/>
      </w:pPr>
      <w:r>
        <w:rPr>
          <w:rFonts w:ascii="Times New Roman" w:hAnsi="Times New Roman" w:eastAsia="Times New Roman" w:cs="Times New Roman"/>
          <w:sz w:val="20"/>
          <w:szCs w:val="20"/>
          <w:highlight w:val="yellow"/>
        </w:rPr>
        <w:t xml:space="preserve">With linear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α</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i</m:t>
            </m:r>
          </m:sub>
        </m:sSub>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substituting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into the stabilized model gives a top-level affine row. For the GP-mean-corrected drift</w:t>
      </w:r>
      <w:r>
        <w:rPr>
          <w:rFonts w:ascii="Times New Roman" w:hAnsi="Times New Roman" w:eastAsia="Times New Roman" w:cs="Times New Roman"/>
          <w:sz w:val="20"/>
          <w:szCs w:val="20"/>
          <w:highlight w:val="yellow"/>
        </w:rPr>
        <w:t xml:space="preserve"> </w:t>
      </w:r>
      <m:oMath>
        <m:acc>
          <m:accPr>
            <m:chr m:val="̂"/>
          </m:accPr>
          <m:e>
            <m:r>
              <w:rPr>
                <w:rFonts w:ascii="Times New Roman" w:hAnsi="Times New Roman" w:eastAsia="Times New Roman" w:cs="Times New Roman"/>
                <w:highlight w:val="yellow"/>
              </w:rPr>
              <m:t>f</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this row is defined by</w:t>
      </w:r>
      <w:r>
        <w:rPr>
          <w:rFonts w:ascii="Times New Roman" w:hAnsi="Times New Roman" w:eastAsia="Times New Roman" w:cs="Times New Roman"/>
          <w:sz w:val="20"/>
          <w:szCs w:val="20"/>
          <w:highlight w:val="yellow"/>
        </w:rPr>
        <w:t xml:space="preserve"> </w:t>
      </w:r>
      <m:oMath>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is stacked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Applying the same construction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without GP correction gives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33" name="Picture"/>
            <ns3:graphic>
              <ns3:graphicData uri="http://schemas.openxmlformats.org/drawingml/2006/picture">
                <ns4:pic>
                  <ns4:nvPicPr>
                    <ns4:cNvPr descr="figures/Figure_1.png" id="34" name="Picture"/>
                    <ns4:cNvPicPr>
                      <ns3:picLocks noChangeArrowheads="1" noChangeAspect="1"/>
                    </ns4:cNvPicPr>
                  </ns4:nvPicPr>
                  <ns4:blipFill>
                    <ns3:blip ns5:embed="rId32"/>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1. </w:t>
      </w:r>
      <w:r>
        <w:rPr>
          <w:rFonts w:ascii="Times New Roman" w:hAnsi="Times New Roman" w:eastAsia="Times New Roman" w:cs="Times New Roman"/>
          <w:sz w:val="20"/>
          <w:szCs w:val="20"/>
          <w:highlight w:val="yellow"/>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physical command is reconstructed with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by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m:oMath>
        <m:sSub>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μ</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s</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training points, the posterior provides mean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variance</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2</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ind w:firstLine="420"/>
      </w:pPr>
      <w:r>
        <w:rPr>
          <w:rFonts w:ascii="Times New Roman" w:hAnsi="Times New Roman" w:eastAsia="Times New Roman" w:cs="Times New Roman"/>
          <w:sz w:val="20"/>
          <w:szCs w:val="20"/>
          <w:highlight w:val="yellow"/>
        </w:rPr>
        <w:t xml:space="preserve">with joint probability at least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sz w:val="20"/>
          <w:szCs w:val="20"/>
          <w:highlight w:val="yellow"/>
        </w:rPr>
        <w:t xml:space="preserve">. A standard RKHS sufficient multiplier includes both a residual RKHS-norm bound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a sub-Gaussian noise scale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for example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modeled outputs</w:t>
      </w:r>
      <w:r>
        <w:rPr>
          <w:rFonts w:ascii="Times New Roman" w:hAnsi="Times New Roman" w:eastAsia="Times New Roman" w:cs="Times New Roman"/>
          <w:sz w:val="20"/>
          <w:szCs w:val="20"/>
          <w:vertAlign w:val="superscript"/>
          <w:highlight w:val="yellow"/>
        </w:rPr>
        <w:t>34</w:t>
      </w:r>
      <w:r>
        <w:rPr>
          <w:rFonts w:ascii="Times New Roman" w:hAnsi="Times New Roman" w:eastAsia="Times New Roman" w:cs="Times New Roman"/>
          <w:sz w:val="20"/>
          <w:szCs w:val="20"/>
          <w:highlight w:val="yellow"/>
        </w:rPr>
        <w:t xml:space="preserve">. The numerical studies and deployed configuration instead retain the fixed commissioning multiplier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This engineering scaling rule defines the reported posterior envelope but does not, by itself, establish Eq. </w:t>
      </w:r>
      <w:r>
        <w:rPr>
          <w:rFonts w:ascii="Times New Roman" w:hAnsi="Times New Roman" w:eastAsia="Times New Roman" w:cs="Times New Roman"/>
          <w:sz w:val="20"/>
          <w:szCs w:val="20"/>
          <w:highlight w:val="yellow"/>
        </w:rPr>
        <w:t xml:space="preserve">(9)</w:t>
      </w:r>
      <w:r>
        <w:rPr>
          <w:rFonts w:ascii="Times New Roman" w:hAnsi="Times New Roman" w:eastAsia="Times New Roman" w:cs="Times New Roman"/>
          <w:sz w:val="20"/>
          <w:szCs w:val="20"/>
          <w:highlight w:val="yellow"/>
        </w:rPr>
        <w:t xml:space="preserve">;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(11)</w:t>
            </w:r>
          </w:p>
        </w:tc>
      </w:tr>
    </w:tbl>
    <w:p>
      <w:pPr>
        <w:pStyle w:val="11"/>
        <w:jc w:val="left"/>
        <w:ind w:firstLine="420"/>
      </w:pPr>
      <w:r>
        <w:rPr>
          <w:rFonts w:ascii="Times New Roman" w:hAnsi="Times New Roman" w:eastAsia="Times New Roman" w:cs="Times New Roman"/>
          <w:sz w:val="20"/>
          <w:szCs w:val="20"/>
          <w:highlight w:val="yellow"/>
        </w:rPr>
        <w:t xml:space="preserve">The three margin relations above define the quantity scaled by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online QP. For the formal result,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uniform operating-set bound and</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m:rPr>
                <m:sty m:val="p"/>
              </m:rP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oMath>
      <w:r>
        <w:rPr>
          <w:rFonts w:ascii="Times New Roman" w:hAnsi="Times New Roman" w:eastAsia="Times New Roman" w:cs="Times New Roman"/>
          <w:sz w:val="20"/>
          <w:szCs w:val="20"/>
          <w:highlight w:val="yellow"/>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states the additional dominance condition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nary>
                  <m:naryPr>
                    <m:chr m:val="∑"/>
                    <m:limLoc m:val="undOvr"/>
                    <m:subHide m:val="off"/>
                    <m:supHide m:val="on"/>
                  </m:naryPr>
                  <m:sub>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
                    </m:r>
                  </m:sup>
                  <m:e>
                    <m:sSub>
                      <m:e>
                        <m:d>
                          <m:dPr>
                            <m:begChr m:val="∥"/>
                            <m:sepChr m:val=""/>
                            <m:endChr m:val="∥"/>
                            <m:grow/>
                          </m:dPr>
                          <m:e>
                            <m:f>
                              <m:fPr>
                                <m:type m:val="bar"/>
                              </m:fPr>
                              <m:num>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sub>
                                </m:sSub>
                                <m:sSubSup>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bSup>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num>
                              <m:den>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j</m:t>
                                    </m:r>
                                  </m:sub>
                                </m:sSub>
                              </m:den>
                            </m:f>
                          </m:e>
                        </m:d>
                      </m:e>
                      <m:sub>
                        <m:r>
                          <w:rPr>
                            <w:rFonts w:ascii="Times New Roman" w:hAnsi="Times New Roman" w:eastAsia="Times New Roman" w:cs="Times New Roman"/>
                            <w:highlight w:val="yellow"/>
                          </w:rPr>
                          <m:t>2</m:t>
                        </m:r>
                      </m:sub>
                    </m:sSub>
                  </m:e>
                </m:nary>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0</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sup</m:t>
            </m:r>
          </m:e>
          <m: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3</m:t>
            </m:r>
          </m:e>
        </m:rad>
      </m:oMath>
      <w:r>
        <w:rPr>
          <w:rFonts w:ascii="Times New Roman" w:hAnsi="Times New Roman" w:eastAsia="Times New Roman" w:cs="Times New Roman"/>
          <w:sz w:val="20"/>
          <w:szCs w:val="20"/>
          <w:highlight w:val="yellow"/>
        </w:rPr>
        <w:t xml:space="preserve">. The chain weights are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nary>
          <m:naryPr>
            <m:chr m:val="∏"/>
            <m:limLoc m:val="undOvr"/>
            <m:subHide m:val="off"/>
            <m:supHide m:val="off"/>
          </m:naryPr>
          <m:sub>
            <m:r>
              <w:rPr>
                <w:rFonts w:ascii="Times New Roman" w:hAnsi="Times New Roman" w:eastAsia="Times New Roman" w:cs="Times New Roman"/>
                <w:highlight w:val="yellow"/>
              </w:rPr>
              <m:t>ℓ</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e>
            <m:r>
              <m:rPr>
                <m:sty m:val="p"/>
              </m:rPr>
              <w:rPr>
                <w:rFonts w:ascii="Times New Roman" w:hAnsi="Times New Roman" w:eastAsia="Times New Roman" w:cs="Times New Roman"/>
                <w:highlight w:val="yellow"/>
              </w:rPr>
              <m:t>(</m:t>
            </m:r>
          </m:e>
        </m:nary>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ℓ</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with the empty product equal to one; hence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each implemented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barrier. The resulting mean-corrected HOCBF constraint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highlight w:val="yellow"/>
        </w:rPr>
        <w:t xml:space="preserve">Assumption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 set and relative degree).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X</m:t>
        </m:r>
      </m:oMath>
      <w:r>
        <w:rPr>
          <w:rFonts w:ascii="Times New Roman" w:hAnsi="Times New Roman" w:eastAsia="Times New Roman" w:cs="Times New Roman"/>
          <w:i/>
          <w:iCs/>
          <w:sz w:val="20"/>
          <w:szCs w:val="20"/>
          <w:highlight w:val="yellow"/>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full-row QP has a unique solution whose feedback selection is locally Lipschitz on the certified set, so the closed-loop differential equation admits a unique Carathéodory solution.</w:t>
      </w:r>
    </w:p>
    <w:p>
      <w:pPr>
        <w:pStyle w:val="3"/>
        <w:jc w:val="left"/>
        <w:ind w:firstLine="420"/>
      </w:pPr>
      <w:r>
        <w:rPr>
          <w:rFonts w:ascii="Times New Roman" w:hAnsi="Times New Roman" w:eastAsia="Times New Roman" w:cs="Times New Roman"/>
          <w:b/>
          <w:bCs/>
          <w:sz w:val="20"/>
          <w:szCs w:val="20"/>
          <w:highlight w:val="yellow"/>
        </w:rPr>
        <w:t xml:space="preserve">Assumption 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(Drift-residual GP event).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input matrix is exact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i/>
          <w:iCs/>
          <w:sz w:val="20"/>
          <w:szCs w:val="20"/>
          <w:highlight w:val="yellow"/>
        </w:rPr>
        <w:t xml:space="preserve">). For the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3</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modeled residual outputs</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Eq. </w:t>
      </w:r>
      <w:r>
        <w:rPr>
          <w:rFonts w:ascii="Times New Roman" w:hAnsi="Times New Roman" w:eastAsia="Times New Roman" w:cs="Times New Roman"/>
          <w:i/>
          <w:iCs/>
          <w:sz w:val="20"/>
          <w:szCs w:val="20"/>
          <w:highlight w:val="yellow"/>
        </w:rPr>
        <w:t xml:space="preserve">(9)</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holds simultaneously over</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alone is not such a proof. Residuals in the unmodeled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oMath>
      <w:r>
        <w:rPr>
          <w:rFonts w:ascii="Times New Roman" w:hAnsi="Times New Roman" w:eastAsia="Times New Roman" w:cs="Times New Roman"/>
          <w:i/>
          <w:iCs/>
          <w:sz w:val="20"/>
          <w:szCs w:val="20"/>
          <w:highlight w:val="yellow"/>
        </w:rPr>
        <w:t xml:space="preserve">, and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drift-only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(Compositional residual bound).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highlight w:val="yellow"/>
        </w:rPr>
        <w:t xml:space="preserve">(12)</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highlight w:val="yellow"/>
        </w:rPr>
        <w:t xml:space="preserve">Theorem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(Conditional probabilistic forward invariance).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Let</w:t>
      </w:r>
      <w:r>
        <w:rPr>
          <w:rFonts w:ascii="Times New Roman" w:hAnsi="Times New Roman" w:eastAsia="Times New Roman" w:cs="Times New Roman"/>
          <w:i/>
          <w:iCs/>
          <w:sz w:val="20"/>
          <w:szCs w:val="20"/>
          <w:highlight w:val="yellow"/>
        </w:rPr>
        <w:t xml:space="preserve"> </w:t>
      </w:r>
      <m:oMath>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denote the induced top-level HOCBF residual after substituting the deviation-input model. If</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then, under Assumptions </w:t>
      </w:r>
      <w:r>
        <w:rPr>
          <w:rFonts w:ascii="Times New Roman" w:hAnsi="Times New Roman" w:eastAsia="Times New Roman" w:cs="Times New Roman"/>
          <w:i/>
          <w:iCs/>
          <w:sz w:val="20"/>
          <w:szCs w:val="20"/>
          <w:highlight w:val="yellow"/>
        </w:rPr>
        <w:t xml:space="preserve">1</w:t>
      </w:r>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4</w:t>
      </w:r>
      <w:r>
        <w:rPr>
          <w:rFonts w:ascii="Times New Roman" w:hAnsi="Times New Roman" w:eastAsia="Times New Roman" w:cs="Times New Roman"/>
          <w:i/>
          <w:iCs/>
          <w:sz w:val="20"/>
          <w:szCs w:val="20"/>
          <w:highlight w:val="yellow"/>
        </w:rPr>
        <w:t xml:space="preserve">, the QP in Eq.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renders the set</w:t>
      </w:r>
      <w:r>
        <w:rPr>
          <w:rFonts w:ascii="Times New Roman" w:hAnsi="Times New Roman" w:eastAsia="Times New Roman" w:cs="Times New Roman"/>
          <w:i/>
          <w:iCs/>
          <w:sz w:val="20"/>
          <w:szCs w:val="20"/>
          <w:highlight w:val="yellow"/>
        </w:rPr>
        <w:t xml:space="preserve"> </w:t>
      </w:r>
      <m:oMath>
        <m:r>
          <m:rPr>
            <m:scr m:val="script"/>
            <m:sty m:val="p"/>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in Eq. </w:t>
      </w:r>
      <w:r>
        <w:rPr>
          <w:rFonts w:ascii="Times New Roman" w:hAnsi="Times New Roman" w:eastAsia="Times New Roman" w:cs="Times New Roman"/>
          <w:i/>
          <w:iCs/>
          <w:sz w:val="20"/>
          <w:szCs w:val="20"/>
          <w:highlight w:val="yellow"/>
        </w:rPr>
        <w:t xml:space="preserve">(8)</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forward invariant 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i/>
          <w:iCs/>
          <w:sz w:val="20"/>
          <w:szCs w:val="20"/>
          <w:highlight w:val="yellow"/>
        </w:rPr>
        <w:t xml:space="preserve">Proof.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 obtain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and then applies the HOCBF forward-invariance result to the tightened QP. The certificate is attached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highlight w:val="yellow"/>
        </w:rPr>
        <w:t xml:space="preserve"> </w:t>
      </w:r>
      <m:oMath>
        <m:r>
          <m:rPr>
            <m:scr m:val="script"/>
            <m:sty m:val="p"/>
          </m:rP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The online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therefore has a dual interpretation: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it applies the complete implemented margin and recovers the formal bound only when Assumptions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QP enforces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i.e., the GP-mean-corrected HOCBF constraint without an additional robustness margin. The separate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notation denotes the no-GP ablation.</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The QP enforces the full implemented compositional margin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It recovers the worst-case certificate only when the residual event, derivative bounds,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QP feasibility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highlight w:val="yellow"/>
        </w:rPr>
        <w:t xml:space="preserve">The conditional probabilistic certificate is available only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 every assumption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established; setting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alone is insufficient. Values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f</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r>
              <m:rPr>
                <m:sty m:val="p"/>
              </m:rPr>
              <w:rPr>
                <w:rFonts w:ascii="Times New Roman" w:hAnsi="Times New Roman" w:eastAsia="Times New Roman" w:cs="Times New Roman"/>
              </w:rPr>
              <m:t>o</m:t>
            </m:r>
            <m:r>
              <m:rPr>
                <m:sty m:val="p"/>
              </m:rPr>
              <w:rPr>
                <w:rFonts w:ascii="Times New Roman" w:hAnsi="Times New Roman" w:eastAsia="Times New Roman" w:cs="Times New Roman"/>
              </w:rPr>
              <m:t>r</m:t>
            </m:r>
          </m:sub>
        </m:sSub>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i</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0.01</m:t>
        </m:r>
      </m: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highlight w:val="yellow"/>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Sup>
          <m:e>
            <m:r>
              <m:rPr>
                <m:sty m:val="p"/>
              </m:rPr>
              <w:rPr>
                <w:rFonts w:ascii="Times New Roman" w:hAnsi="Times New Roman" w:eastAsia="Times New Roman" w:cs="Times New Roman"/>
                <w:highlight w:val="yellow"/>
              </w:rPr>
              <m:t>]</m:t>
            </m:r>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physical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enforced limits are pressure (13–24 MPa), separator enthalpy (2670–2830 kJ/kg), and generator active power around the dispatch target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20"/>
          <w:szCs w:val="20"/>
          <w:highlight w:val="yellow"/>
        </w:rPr>
        <w:t xml:space="preserve"> MW). All six command-level barriers have relative degree two. The HOCBF uses the sample-matched surrogate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t</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rollout applies its one-step forward-Euler map</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Thus, the HOCBF rows and controller-instant transition use the same drift and command matrices.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structural scope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the true-drift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dynamics as an optimization-based reference. It solves a warm-started SLSQP problem with horizon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20"/>
          <w:szCs w:val="20"/>
          <w:highlight w:val="yellow"/>
        </w:rPr>
        <w:t xml:space="preserve">, normalized deviation-input bounds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NMPC uses its own receding-horizon proposal and is reported as an optimization reference rather than as a same-proposal filter ablation.</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R</m:t>
                    </m:r>
                  </m:e>
                  <m:sub>
                    <m:r>
                      <m:rPr>
                        <m:sty m:val="p"/>
                      </m:rPr>
                      <w:rPr>
                        <w:rFonts w:ascii="Times New Roman" w:hAnsi="Times New Roman" w:eastAsia="Times New Roman" w:cs="Times New Roman"/>
                      </w:rPr>
                      <m:t>v</m:t>
                    </m:r>
                    <m:r>
                      <m:rPr>
                        <m:sty m:val="p"/>
                      </m:rPr>
                      <w:rPr>
                        <w:rFonts w:ascii="Times New Roman" w:hAnsi="Times New Roman" w:eastAsia="Times New Roman" w:cs="Times New Roman"/>
                      </w:rPr>
                      <m:t>i</m:t>
                    </m:r>
                    <m:r>
                      <m:rPr>
                        <m:sty m:val="p"/>
                      </m:rPr>
                      <w:rPr>
                        <w:rFonts w:ascii="Times New Roman" w:hAnsi="Times New Roman" w:eastAsia="Times New Roman" w:cs="Times New Roman"/>
                      </w:rPr>
                      <m:t>o</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f>
                  <m:fPr>
                    <m:type m:val="bar"/>
                  </m:fPr>
                  <m:num>
                    <m:nary>
                      <m:naryPr>
                        <m:chr m:val="∑"/>
                        <m:limLoc m:val="undOvr"/>
                        <m:subHide m:val="off"/>
                        <m:supHide m:val="off"/>
                      </m:naryPr>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up>
                      <m:e>
                        <m:nary>
                          <m:naryPr>
                            <m:chr m:val="∑"/>
                            <m:limLoc m:val="undOvr"/>
                            <m:subHide m:val="off"/>
                            <m:supHide m:val="off"/>
                          </m:naryPr>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nary>
                              <m:naryPr>
                                <m:chr m:val="∑"/>
                                <m:limLoc m:val="undOvr"/>
                                <m:subHide m:val="off"/>
                                <m:supHide m:val="off"/>
                              </m:naryPr>
                              <m:sub>
                                <m: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r>
                                  <m:rPr>
                                    <m:sty m:val="b"/>
                                  </m:rPr>
                                  <w:rPr>
                                    <w:rFonts w:ascii="Times New Roman" w:hAnsi="Times New Roman" w:eastAsia="Times New Roman" w:cs="Times New Roman"/>
                                  </w:rPr>
                                  <m:t>1</m:t>
                                </m:r>
                              </m:e>
                            </m:nary>
                          </m:e>
                        </m:nary>
                      </m:e>
                    </m:nary>
                    <m:r>
                      <m:rPr>
                        <m:sty m:val="p"/>
                      </m:rPr>
                      <w:rPr>
                        <w:rFonts w:ascii="Times New Roman" w:hAnsi="Times New Roman" w:eastAsia="Times New Roman" w:cs="Times New Roman"/>
                      </w:rPr>
                      <m:t>{</m:t>
                    </m:r>
                    <m:limLow>
                      <m:e>
                        <m:r>
                          <m:rPr>
                            <m:sty m:val="p"/>
                          </m:rPr>
                          <w:rPr>
                            <w:rFonts w:ascii="Times New Roman" w:hAnsi="Times New Roman" w:eastAsia="Times New Roman" w:cs="Times New Roman"/>
                          </w:rPr>
                          <m:t>min</m:t>
                        </m:r>
                      </m:e>
                      <m:lim>
                        <m:r>
                          <w:rPr>
                            <w:rFonts w:ascii="Times New Roman" w:hAnsi="Times New Roman" w:eastAsia="Times New Roman" w:cs="Times New Roman"/>
                          </w:rPr>
                          <m:t>j</m:t>
                        </m:r>
                      </m:lim>
                    </m:limLow>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t</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num>
                  <m:den>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den>
                </m:f>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(13)</w:t>
            </w:r>
          </w:p>
        </w:tc>
      </w:tr>
    </w:tbl>
    <w:p>
      <w:pPr>
        <w:pStyle w:val="11"/>
        <w:jc w:val="left"/>
        <w:ind w:firstLine="420"/>
      </w:pPr>
      <w:r>
        <w:rPr>
          <w:rFonts w:ascii="Times New Roman" w:hAnsi="Times New Roman" w:eastAsia="Times New Roman" w:cs="Times New Roman"/>
          <w:sz w:val="20"/>
          <w:szCs w:val="20"/>
          <w:highlight w:val="yellow"/>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η</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that controller sampling instant.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η</m:t>
        </m:r>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raw barrier units to avoid counting QP boundary-roundoff as physical violation; the later stress-test diagnostics use the tolerance stated in their result files or captions. This is not an episode-level probability. Counts in Fig.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refer only to its diagnostic rollout, whereas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aggregates controller samples across seeds and rollouts for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highlight w:val="yellow"/>
        </w:rPr>
        <w:t xml:space="preserve">Table 2.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sample-level constraint violation rate (%) at controller instants, computed by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Each cell aggregates 50 independent 500-sample rollouts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a raw-margin numerical tolerance of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 (all</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tune-selected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58.06</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violating samples among 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the resulting GP-mean RoCBF-SF row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no solver failure. The comparison therefore does not establish universal superiority over MPC; RoCBF-SF’s deployment distinction is its one-step downstream projection of an existing coordinated-controller command.</w:t>
      </w:r>
    </w:p>
    <w:p>
      <w:pPr>
        <w:pStyle w:val="3"/>
        <w:jc w:val="left"/>
        <w:ind w:firstLine="420"/>
      </w:pPr>
      <w:r>
        <w:rPr>
          <w:rFonts w:ascii="Times New Roman" w:hAnsi="Times New Roman" w:eastAsia="Times New Roman" w:cs="Times New Roman"/>
          <w:sz w:val="20"/>
          <w:szCs w:val="20"/>
          <w:highlight w:val="yellow"/>
        </w:rPr>
        <w:t xml:space="preserve">The full implemented-margin row shows why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across the six mismatch conditions and consequently reproduces the upstream proposal’s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violations. This outcome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numerical endpoint does not satisfy the theorem’s full-row robust-QP-feasibility condition, and the finite benchmark does not independently establish its uniform residual event or derivative bounds.</w:t>
      </w:r>
    </w:p>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and reverts to the upstream proposal throughout.</w:t>
      </w:r>
    </w:p>
    <w:p>
      <w:pPr>
        <w:jc w:val="left"/>
        <w:spacing w:before="80" w:after="120"/>
        <w:keepLines/>
      </w:pPr>
      <w:r>
        <w:rPr>
          <w:rFonts w:ascii="Times New Roman" w:hAnsi="Times New Roman" w:eastAsia="Times New Roman" w:cs="Times New Roman"/>
          <w:sz w:val="20"/>
          <w:szCs w:val="20"/>
          <w:b/>
          <w:bCs/>
          <w:highlight w:val="yellow"/>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w:t>
      </w:r>
      <w:r>
        <w:rPr>
          <w:rFonts w:ascii="Times New Roman" w:hAnsi="Times New Roman" w:eastAsia="Times New Roman" w:cs="Times New Roman"/>
          <w:sz w:val="20"/>
          <w:szCs w:val="20"/>
          <w:color w:val="000000"/>
          <w:b/>
          <w:bCs/>
          <w:i/>
          <w:iCs/>
          <w:highlight w:val="yellow"/>
        </w:rPr>
        <w:t xml:space="preserve">,</w:t>
      </w:r>
      <w:r>
        <w:rPr>
          <w:rFonts w:ascii="Times New Roman" w:hAnsi="Times New Roman" w:eastAsia="Times New Roman" w:cs="Times New Roman"/>
          <w:sz w:val="20"/>
          <w:szCs w:val="20"/>
          <w:color w:val="000000"/>
          <w:b/>
          <w:bCs/>
          <w:i/>
          <w:iCs/>
          <w:highlight w:val="yellow"/>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ind w:firstLine="420"/>
      </w:pPr>
      <w:r>
        <w:rPr>
          <w:rFonts w:ascii="Times New Roman" w:hAnsi="Times New Roman" w:eastAsia="Times New Roman" w:cs="Times New Roman"/>
          <w:sz w:val="20"/>
          <w:szCs w:val="20"/>
          <w:highlight w:val="yellow"/>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403463"/>
            <ns2:effectExtent b="0" l="0" r="0" t="0"/>
            <ns2:docPr descr="" title="" id="49" name="Picture"/>
            <ns3:graphic>
              <ns3:graphicData uri="http://schemas.openxmlformats.org/drawingml/2006/picture">
                <ns4:pic>
                  <ns4:nvPicPr>
                    <ns4:cNvPr descr="figures/Figure_6_process_response.png" id="50" name="Picture"/>
                    <ns4:cNvPicPr>
                      <ns3:picLocks noChangeArrowheads="1" noChangeAspect="1"/>
                    </ns4:cNvPicPr>
                  </ns4:nvPicPr>
                  <ns4:blipFill>
                    <ns3:blip ns5:embed="rId48"/>
                    <ns3:stretch>
                      <ns3:fillRect/>
                    </ns3:stretch>
                  </ns4:blipFill>
                  <ns4:spPr bwMode="auto">
                    <ns3:xfrm>
                      <ns3:off x="0" y="0"/>
                      <ns3:ext cx="5006975" cy="34034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2. </w:t>
      </w:r>
      <w:r>
        <w:rPr>
          <w:rFonts w:ascii="Times New Roman" w:hAnsi="Times New Roman" w:eastAsia="Times New Roman" w:cs="Times New Roman"/>
          <w:sz w:val="20"/>
          <w:szCs w:val="20"/>
          <w:highlight w:val="yellow"/>
        </w:rPr>
        <w:t xml:space="preserve">Closed-loop pressure-bottleneck mechanism for representative seed 3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 distinguishing accepted QP intervention, state-limit violation, and rejected-QP fallback.</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counting tolerance defined in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pressure bottleneck directly in a representative S3 rollout. HOCBF without GP correction produces 239/300 violating samples and a minimum lower-pressure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-0.59553</w:t>
      </w:r>
      <w:r>
        <w:rPr>
          <w:rFonts w:ascii="Times New Roman" w:hAnsi="Times New Roman" w:eastAsia="Times New Roman" w:cs="Times New Roman"/>
          <w:sz w:val="20"/>
          <w:szCs w:val="20"/>
          <w:highlight w:val="yellow"/>
        </w:rPr>
        <w:t xml:space="preserve"> MPa. The full implemented-margin endpoint rejects every QP candidate in this rollout and therefore follows the fallback proposal, producing essentially the same pressure excursion. The tune-selected mean-only setting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accepts all 300 QPs, intervenes on 241 samples, and records 0/300 violations under the stated counting tolerance; its unrounded minimum pressure margin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4.94</m:t>
        </m:r>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sup>
        </m:sSup>
      </m:oMath>
      <w:r>
        <w:rPr>
          <w:rFonts w:ascii="Times New Roman" w:hAnsi="Times New Roman" w:eastAsia="Times New Roman" w:cs="Times New Roman"/>
          <w:sz w:val="20"/>
          <w:szCs w:val="20"/>
          <w:highlight w:val="yellow"/>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53" name="Picture"/>
            <ns3:graphic>
              <ns3:graphicData uri="http://schemas.openxmlformats.org/drawingml/2006/picture">
                <ns4:pic>
                  <ns4:nvPicPr>
                    <ns4:cNvPr descr="figures/Figure_8_model_mismatch.png" id="54" name="Picture"/>
                    <ns4:cNvPicPr>
                      <ns3:picLocks noChangeArrowheads="1" noChangeAspect="1"/>
                    </ns4:cNvPicPr>
                  </ns4:nvPicPr>
                  <ns4:blipFill>
                    <ns3:blip ns5:embed="rId52"/>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3. </w:t>
      </w:r>
      <w:r>
        <w:rPr>
          <w:rFonts w:ascii="Times New Roman" w:hAnsi="Times New Roman" w:eastAsia="Times New Roman" w:cs="Times New Roman"/>
          <w:sz w:val="20"/>
          <w:szCs w:val="20"/>
          <w:highlight w:val="yellow"/>
        </w:rPr>
        <w:t xml:space="preserve">Direct model-mismatch diagnosis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 and true one-step enthalpy margins from identical state–input pairs.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commissioning envelope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12.262</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that implemented envelope; values below one lie inside the plotted diagnostic envelope, not a separately established uniform GP confidence set.</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-1.050</w:t>
      </w:r>
      <w:r>
        <w:rPr>
          <w:rFonts w:ascii="Times New Roman" w:hAnsi="Times New Roman" w:eastAsia="Times New Roman" w:cs="Times New Roman"/>
          <w:sz w:val="20"/>
          <w:szCs w:val="20"/>
          <w:highlight w:val="yellow"/>
        </w:rPr>
        <w:t xml:space="preserve"> MPa/s for pressure and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-14.777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-14.000</w:t>
      </w:r>
      <w:r>
        <w:rPr>
          <w:rFonts w:ascii="Times New Roman" w:hAnsi="Times New Roman" w:eastAsia="Times New Roman" w:cs="Times New Roman"/>
          <w:sz w:val="20"/>
          <w:szCs w:val="20"/>
          <w:highlight w:val="yellow"/>
        </w:rPr>
        <w:t xml:space="preserve"> kJ kg</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s</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57" name="Picture"/>
            <ns3:graphic>
              <ns3:graphicData uri="http://schemas.openxmlformats.org/drawingml/2006/picture">
                <ns4:pic>
                  <ns4:nvPicPr>
                    <ns4:cNvPr descr="figures/Figure_2.png" id="58" name="Picture"/>
                    <ns4:cNvPicPr>
                      <ns3:picLocks noChangeArrowheads="1" noChangeAspect="1"/>
                    </ns4:cNvPicPr>
                  </ns4:nvPicPr>
                  <ns4:blipFill>
                    <ns3:blip ns5:embed="rId56"/>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4.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 the 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0.01, 0.02, and 0.05 each give 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and no rejected QP; the predeclared smallest-passing rule therefore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no violation is observed but 13/15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are rejected. Values of 0.2 and above fail the feasibility gate, and the full endpoint rejects all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tune-set QPs. After fixing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held-out seeds 3–4 give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62" name="Picture"/>
            <ns3:graphic>
              <ns3:graphicData uri="http://schemas.openxmlformats.org/drawingml/2006/picture">
                <ns4:pic>
                  <ns4:nvPicPr>
                    <ns4:cNvPr descr="figures/Figure_GP_data_sensitivity.png" id="63" name="Picture"/>
                    <ns4:cNvPicPr>
                      <ns3:picLocks noChangeArrowheads="1" noChangeAspect="1"/>
                    </ns4:cNvPicPr>
                  </ns4:nvPicPr>
                  <ns4:blipFill>
                    <ns3:blip ns5:embed="rId61"/>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gives 0/2500 violations and no QP rejection at each size. Synthetic target corruption exposes a dictionary-size dependence: the 100- and 250-point fits produce 5.76–20.24% violation and 4.04–8.60% QP rejection, whereas the 500-point fits retain 0/2500 observed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highlight w:val="yellow"/>
        </w:rPr>
        <w:t>4.4 Real-Time Computation</w:t>
      </w:r>
    </w:p>
    <w:p>
      <w:pPr>
        <w:pStyle w:val="11"/>
        <w:jc w:val="left"/>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highlight w:val="yellow"/>
        </w:rPr>
        <w:t>4.5 Measured Plant Evidence: Envelope, Matched Windows, and Controller Logs</w:t>
      </w:r>
    </w:p>
    <w:p>
      <w:pPr>
        <w:pStyle w:val="11"/>
        <w:jc w:val="left"/>
        <w:ind w:firstLine="420"/>
      </w:pPr>
      <w:r>
        <w:rPr>
          <w:rFonts w:ascii="Times New Roman" w:hAnsi="Times New Roman" w:eastAsia="Times New Roman" w:cs="Times New Roman"/>
          <w:sz w:val="20"/>
          <w:szCs w:val="20"/>
          <w:highlight w:val="yellow"/>
        </w:rPr>
        <w:t xml:space="preserve">The simulation benchmark establishes the closed-loop mechanism: GP residual correction closes most of the model mismatch,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288</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68" name="Picture"/>
            <ns3:graphic>
              <ns3:graphicData uri="http://schemas.openxmlformats.org/drawingml/2006/picture">
                <ns4:pic>
                  <ns4:nvPicPr>
                    <ns4:cNvPr descr="figures/Figure_9_production_historian.png" id="69" name="Picture"/>
                    <ns4:cNvPicPr>
                      <ns3:picLocks noChangeArrowheads="1" noChangeAspect="1"/>
                    </ns4:cNvPicPr>
                  </ns4:nvPicPr>
                  <ns4:blipFill>
                    <ns3:blip ns5:embed="rId67"/>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6. </w:t>
      </w:r>
      <w:r>
        <w:rPr>
          <w:rFonts w:ascii="Times New Roman" w:hAnsi="Times New Roman" w:eastAsia="Times New Roman" w:cs="Times New Roman"/>
          <w:sz w:val="20"/>
          <w:szCs w:val="20"/>
          <w:highlight w:val="yellow"/>
        </w:rPr>
        <w:t xml:space="preserve">Plant-historian operating-envelope check from the 660 MW ultra-supercritical 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highlight w:val="yellow"/>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0.986</m:t>
        </m:r>
      </m:oMath>
      <w:r>
        <w:rPr>
          <w:rFonts w:ascii="Times New Roman" w:hAnsi="Times New Roman" w:eastAsia="Times New Roman" w:cs="Times New Roman"/>
          <w:sz w:val="20"/>
          <w:szCs w:val="20"/>
          <w:highlight w:val="yellow"/>
        </w:rPr>
        <w:t xml:space="preserve">) and fuel flow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0.980</m:t>
        </m:r>
      </m:oMath>
      <w:r>
        <w:rPr>
          <w:rFonts w:ascii="Times New Roman" w:hAnsi="Times New Roman" w:eastAsia="Times New Roman" w:cs="Times New Roman"/>
          <w:sz w:val="20"/>
          <w:szCs w:val="20"/>
          <w:highlight w:val="yellow"/>
        </w:rPr>
        <w:t xml:space="preserve">), confirming pressure–combustion coupling during load following. The MW04–MW06 controller exports analyzed below provide the separate execution evidence at 480.7–629.7 MW (72.8–95.4% of nameplate power). Taken together, the two record types span measured operation from 195.7 to 629.7 MW (29.7–95.4% of nameplate), but they do not constitute continuous controller-internal performance validation at every load through 660 MW.</w:t>
      </w:r>
    </w:p>
    <w:p>
      <w:pPr>
        <w:pStyle w:val="3"/>
        <w:jc w:val="left"/>
        <w:ind w:firstLine="420"/>
      </w:pPr>
      <w:r>
        <w:rPr>
          <w:rFonts w:ascii="Times New Roman" w:hAnsi="Times New Roman" w:eastAsia="Times New Roman" w:cs="Times New Roman"/>
          <w:sz w:val="20"/>
          <w:szCs w:val="20"/>
          <w:highlight w:val="yellow"/>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300 s historian records from 2024–2025 and 25 June–5 July 2026. Candidate two-hour windows contain 24 consecutive samples, advance every 30 min, and retain only load in 195–700 MW with finite pressure, setpoint, and fuel-flow values.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native-5 s load-matched diagnostic, not a selected member of the 300 s cohort; its source timestamps and metric JSON are preserved independently in the evidence package. Concurrent routine maintenance also means that the response comparison is observational evidence associated with the documented retrofit, not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72" name="Picture"/>
            <ns3:graphic>
              <ns3:graphicData uri="http://schemas.openxmlformats.org/drawingml/2006/picture">
                <ns4:pic>
                  <ns4:nvPicPr>
                    <ns4:cNvPr descr="figures/Figure_10_production_retrofit_evidence.png" id="73" name="Picture"/>
                    <ns4:cNvPicPr>
                      <ns3:picLocks noChangeArrowheads="1" noChangeAspect="1"/>
                    </ns4:cNvPicPr>
                  </ns4:nvPicPr>
                  <ns4:blipFill>
                    <ns3:blip ns5:embed="rId71"/>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7. </w:t>
      </w:r>
      <w:r>
        <w:rPr>
          <w:rFonts w:ascii="Times New Roman" w:hAnsi="Times New Roman" w:eastAsia="Times New Roman" w:cs="Times New Roman"/>
          <w:sz w:val="20"/>
          <w:szCs w:val="20"/>
          <w:highlight w:val="yellow"/>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active-power trajectories used for matching; the mean-load difference 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-0.72</w:t>
      </w:r>
      <w:r>
        <w:rPr>
          <w:rFonts w:ascii="Times New Roman" w:hAnsi="Times New Roman" w:eastAsia="Times New Roman" w:cs="Times New Roman"/>
          <w:sz w:val="20"/>
          <w:szCs w:val="20"/>
          <w:highlight w:val="yellow"/>
        </w:rPr>
        <w:t xml:space="preserve"> MW and the load-profile RMSE is 10.7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Main-steam pressure and the sliding-pressure setpoint.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tracking error,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t</m:t>
            </m:r>
          </m:sub>
        </m:sSub>
      </m:oMath>
      <w:r>
        <w:rPr>
          <w:rFonts w:ascii="Times New Roman" w:hAnsi="Times New Roman" w:eastAsia="Times New Roman" w:cs="Times New Roman"/>
          <w:sz w:val="20"/>
          <w:szCs w:val="20"/>
          <w:highlight w:val="yellow"/>
        </w:rPr>
        <w:t xml:space="preserve">; the sample-level standard deviation decreases from 0.375 to 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Fuel/load distribution for the combustion-side operating context; boxes show median, IQR, and 1.5</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76" name="Picture"/>
            <ns3:graphic>
              <ns3:graphicData uri="http://schemas.openxmlformats.org/drawingml/2006/picture">
                <ns4:pic>
                  <ns4:nvPicPr>
                    <ns4:cNvPr descr="figures/Figure_11_controller_log_validation.png" id="77" name="Picture"/>
                    <ns4:cNvPicPr>
                      <ns3:picLocks noChangeArrowheads="1" noChangeAspect="1"/>
                    </ns4:cNvPicPr>
                  </ns4:nvPicPr>
                  <ns4:blipFill>
                    <ns3:blip ns5:embed="rId75"/>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0.03266</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0.00561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2.21654</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2.36306</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S</m:t>
        </m:r>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_</m:t>
        </m:r>
        <m:r>
          <w:rPr>
            <w:rFonts w:ascii="Times New Roman" w:hAnsi="Times New Roman" w:eastAsia="Times New Roman" w:cs="Times New Roman"/>
            <w:highlight w:val="yellow"/>
          </w:rPr>
          <m:t>H</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h</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highlight w:val="yellow"/>
        </w:rPr>
        <w:t>4.6 Stage-Gated Commissioning Protocol</w:t>
      </w:r>
    </w:p>
    <w:p>
      <w:pPr>
        <w:pStyle w:val="11"/>
        <w:jc w:val="left"/>
        <w:ind w:firstLine="420"/>
      </w:pPr>
      <w:r>
        <w:rPr>
          <w:rFonts w:ascii="Times New Roman" w:hAnsi="Times New Roman" w:eastAsia="Times New Roman" w:cs="Times New Roman"/>
          <w:sz w:val="20"/>
          <w:szCs w:val="20"/>
          <w:highlight w:val="yellow"/>
        </w:rPr>
        <w:t xml:space="preserve">RoCBF-SF is intended as 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commissioning-calibrated safety filter</w:t>
      </w:r>
      <w:r>
        <w:rPr>
          <w:rFonts w:ascii="Times New Roman" w:hAnsi="Times New Roman" w:eastAsia="Times New Roman" w:cs="Times New Roman"/>
          <w:sz w:val="20"/>
          <w:szCs w:val="20"/>
          <w:highlight w:val="yellow"/>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highlight w:val="yellow"/>
        </w:rPr>
        <w:t xml:space="preserve">Table 5. </w:t>
      </w:r>
      <w:r>
        <w:rPr>
          <w:rFonts w:ascii="Times New Roman" w:hAnsi="Times New Roman" w:eastAsia="Times New Roman" w:cs="Times New Roman"/>
          <w:sz w:val="20"/>
          <w:szCs w:val="20"/>
          <w:highlight w:val="yellow"/>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Use a field-calibrated frozen GP whose training domain covers the commissioned operating envelope; select the smallest</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highlight w:val="yellow"/>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highlight w:val="yellow"/>
        </w:rPr>
        <w:t xml:space="preserve">The seven-state,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violating samples. The predeclared calibration rule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this RoCBF-SF setting and the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an independently valid simultaneous residual event and compositional derivative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robust-QP feasibility; the implemented multiplier does not establish those conditions by itself.</w:t>
      </w:r>
    </w:p>
    <w:p>
      <w:pPr>
        <w:pStyle w:val="3"/>
        <w:jc w:val="left"/>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ind w:firstLine="420"/>
      </w:pPr>
      <w:r>
        <w:rPr>
          <w:rFonts w:ascii="Times New Roman" w:hAnsi="Times New Roman" w:eastAsia="Times New Roman" w:cs="Times New Roman"/>
          <w:sz w:val="20"/>
          <w:szCs w:val="20"/>
          <w:highlight w:val="yellow"/>
        </w:rPr>
        <w:t xml:space="preserve">Future work should extend time-separated commissioning coverage, evaluate actuator-gain uncertainty beyond the current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