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65.png" ContentType="image/png"/>
  <ns0:Override PartName="/word/media/rId68.png" ContentType="image/png"/>
  <ns0:Override PartName="/word/media/rId53.png" ContentType="image/png"/>
  <ns0:Override PartName="/word/media/rId47.png" ContentType="image/png"/>
  <ns0:Override PartName="/word/media/rId50.png" ContentType="image/png"/>
  <ns0:Override PartName="/word/media/rId62.png" ContentType="image/png"/>
  <ns0:Override PartName="/word/media/rId57.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power-unit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enforce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separator-enthalpy,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power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limits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even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changing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quality,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heat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absorption,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process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invalidate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model.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mismatch,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command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accepted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controller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still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constrained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variables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toward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their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limits.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paper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proposes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commissioning-calibrated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Gaussian-process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high-order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function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(GP-HOCBF)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safety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filter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placed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between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existing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controller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actuators.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models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correct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residuals,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uncertainty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propagated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through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HOCBF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chain,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one-step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quadratic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program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projects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each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proposed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command.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seven-state,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actuator-augmented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HOCBF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correction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violating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among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six</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mismatch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scenarios.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predeclared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tune/test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rule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GP-mean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filter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NMPC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each</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observed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violations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sweep,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fixed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filter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violations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rejections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seeds.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contrast,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implemented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full-margin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rejects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mismatch-scenario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actuator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limits.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Plant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evidence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660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ultra-supercritical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operating-context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cohort,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native-5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matched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response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pair,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4320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confirmed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high-load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controller-export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matched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pair,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pressure-error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standard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deviation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decreases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0.375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controller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exports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cover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480.7–629.7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two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retain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full-QP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guarded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reduced-QP</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recoveries,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maximum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total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task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time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28.665 ms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against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1000 ms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deadline.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These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support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deployable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safety-filter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workflow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while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distinguishing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finite-sample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calibration,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observational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plant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response,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controller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execution,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required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highlight w:val="yellow"/>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highlight w:val="yellow"/>
        </w:rPr>
        <w:t>3</w:t>
      </w:r>
      <w:r>
        <w:rPr>
          <w:rFonts w:ascii="Times New Roman" w:hAnsi="Times New Roman" w:eastAsia="Times New Roman" w:cs="Times New Roman"/>
          <w:sz w:val="20"/>
          <w:szCs w:val="20"/>
          <w:highlight w:val="yellow"/>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highlight w:val="yellow"/>
        </w:rPr>
        <w:t xml:space="preserve">Downstream safety-filter architecture for boiler-turbine process control.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highlight w:val="yellow"/>
        </w:rPr>
        <w:t xml:space="preserve">Simulation and production-data validation.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approach is validated on an actuator-augmented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highlight w:val="yellow"/>
        </w:rPr>
        <w:t>Control barrier functions enforce forward invariance through QP-based control projection</w:t>
      </w:r>
      <w:r>
        <w:rPr>
          <w:rFonts w:ascii="Times New Roman" w:hAnsi="Times New Roman" w:eastAsia="Times New Roman" w:cs="Times New Roman"/>
          <w:sz w:val="20"/>
          <w:szCs w:val="20"/>
          <w:vertAlign w:val="superscript"/>
          <w:highlight w:val="yellow"/>
        </w:rPr>
        <w:t>3,24</w:t>
      </w:r>
      <w:r>
        <w:rPr>
          <w:rFonts w:ascii="Times New Roman" w:hAnsi="Times New Roman" w:eastAsia="Times New Roman" w:cs="Times New Roman"/>
          <w:sz w:val="20"/>
          <w:szCs w:val="20"/>
          <w:highlight w:val="yellow"/>
        </w:rPr>
        <w:t>. HOCBFs extend this idea to high-relative-degree constraints</w:t>
      </w:r>
      <w:r>
        <w:rPr>
          <w:rFonts w:ascii="Times New Roman" w:hAnsi="Times New Roman" w:eastAsia="Times New Roman" w:cs="Times New Roman"/>
          <w:sz w:val="20"/>
          <w:szCs w:val="20"/>
          <w:vertAlign w:val="superscript"/>
          <w:highlight w:val="yellow"/>
        </w:rPr>
        <w:t>4</w:t>
      </w:r>
      <w:r>
        <w:rPr>
          <w:rFonts w:ascii="Times New Roman" w:hAnsi="Times New Roman" w:eastAsia="Times New Roman" w:cs="Times New Roman"/>
          <w:sz w:val="20"/>
          <w:szCs w:val="20"/>
          <w:highlight w:val="yellow"/>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highlight w:val="yellow"/>
        </w:rPr>
        <w:t>25–27</w:t>
      </w:r>
      <w:r>
        <w:rPr>
          <w:rFonts w:ascii="Times New Roman" w:hAnsi="Times New Roman" w:eastAsia="Times New Roman" w:cs="Times New Roman"/>
          <w:sz w:val="20"/>
          <w:szCs w:val="20"/>
          <w:highlight w:val="yellow"/>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highlight w:val="yellow"/>
        </w:rPr>
        <w:t>28</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highlight w:val="yellow"/>
        </w:rPr>
        <w:t>For high-order constraints, the comparison is narrower. Aali and Liu</w:t>
      </w:r>
      <w:r>
        <w:rPr>
          <w:rFonts w:ascii="Times New Roman" w:hAnsi="Times New Roman" w:eastAsia="Times New Roman" w:cs="Times New Roman"/>
          <w:sz w:val="20"/>
          <w:szCs w:val="20"/>
          <w:vertAlign w:val="superscript"/>
          <w:highlight w:val="yellow"/>
        </w:rPr>
        <w:t>10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highlight w:val="yellow"/>
        </w:rPr>
        <w:t>11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summarizes the overlay architecture. The upstream controller produces a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around the LQR-stabilized equilibrium controller, and the safety filter returns the nearest admissible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normalized deviation command satisfies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p>
          <m:e>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With the physical per-cycle command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d>
          <m:dPr>
            <m:begChr m:val="("/>
            <m:endChr m:val=")"/>
            <m:sepChr m:val=""/>
            <m:grow/>
          </m:dPr>
          <m:e>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oMath>
      <w:r>
        <w:rPr>
          <w:rFonts w:ascii="Times New Roman" w:hAnsi="Times New Roman" w:eastAsia="Times New Roman" w:cs="Times New Roman"/>
          <w:sz w:val="20"/>
          <w:szCs w:val="20"/>
          <w:highlight w:val="yellow"/>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exp</m:t>
        </m:r>
        <m:d>
          <m:dPr>
            <m:begChr m:val="["/>
            <m:endChr m:val="]"/>
            <m:sepChr m:val=""/>
            <m:grow/>
          </m:dPr>
          <m:e>
            <m:d>
              <m:dPr>
                <m:begChr m:val="("/>
                <m:endChr m:val=")"/>
                <m:sepChr m:val=""/>
                <m:grow/>
              </m:dPr>
              <m:e>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w:rPr>
                    <w:rFonts w:ascii="Times New Roman" w:hAnsi="Times New Roman" w:eastAsia="Times New Roman" w:cs="Times New Roman"/>
                    <w:highlight w:val="yellow"/>
                  </w:rPr>
                  <m:t>K</m:t>
                </m:r>
              </m:e>
            </m:d>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e>
        </m:d>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ξ</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d>
                  <m:dPr>
                    <m:begChr m:val="("/>
                    <m:endChr m:val=")"/>
                    <m:sepChr m:val=""/>
                    <m:grow/>
                  </m:dPr>
                  <m:e>
                    <m:r>
                      <w:rPr>
                        <w:rFonts w:ascii="Times New Roman" w:hAnsi="Times New Roman" w:eastAsia="Times New Roman" w:cs="Times New Roman"/>
                        <w:highlight w:val="yellow"/>
                      </w:rPr>
                      <m:t>ξ</m:t>
                    </m:r>
                  </m:e>
                </m:d>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Its forward-Euler update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ξ</m:t>
            </m:r>
          </m:sub>
        </m:sSub>
        <m:d>
          <m:dPr>
            <m:begChr m:val="("/>
            <m:endChr m:val=")"/>
            <m:sepChr m:val=""/>
            <m:grow/>
          </m:dPr>
          <m:e>
            <m:sSub>
              <m:e>
                <m:r>
                  <w:rPr>
                    <w:rFonts w:ascii="Times New Roman" w:hAnsi="Times New Roman" w:eastAsia="Times New Roman" w:cs="Times New Roman"/>
                    <w:highlight w:val="yellow"/>
                  </w:rPr>
                  <m:t>ξ</m:t>
                </m:r>
              </m:e>
              <m:sub>
                <m:r>
                  <w:rPr>
                    <w:rFonts w:ascii="Times New Roman" w:hAnsi="Times New Roman" w:eastAsia="Times New Roman" w:cs="Times New Roman"/>
                    <w:highlight w:val="yellow"/>
                  </w:rPr>
                  <m:t>k</m:t>
                </m:r>
              </m:sub>
            </m:sSub>
          </m:e>
        </m:d>
      </m:oMath>
      <w:r>
        <w:rPr>
          <w:rFonts w:ascii="Times New Roman" w:hAnsi="Times New Roman" w:eastAsia="Times New Roman" w:cs="Times New Roman"/>
          <w:sz w:val="20"/>
          <w:szCs w:val="20"/>
          <w:highlight w:val="yellow"/>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Variables and implementation settings used by the RoCBF-SF safety filter in the actuator-augmented CCS benchmark and plant implementation.</w:t>
      </w:r>
    </w:p>
    <w:tbl>
      <w:tblPr>
        <w:tblStyle w:val="Table"/>
        <w:tblW w:type="dxa" w:w="8500"/>
        <w:tblLook w:firstRow="1" w:lastRow="0" w:firstColumn="0" w:lastColumn="0" w:noHBand="0" w:noVBand="0" w:val="0020"/>
        <w:tblCaption w:val="Table 1. Variables and implementation settings used by the RoCBF-SF safety filter in the actuator-augmented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e>
                  </m:d>
                </m:e>
                <m:sup>
                  <m:r>
                    <m:rPr>
                      <m:sty m:val="p"/>
                    </m:rPr>
                    <w:rPr>
                      <w:rFonts w:ascii="Times New Roman" w:hAnsi="Times New Roman" w:eastAsia="Times New Roman" w:cs="Times New Roman"/>
                      <w:highlight w:val="yellow"/>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m:oMath>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d>
                <m:dPr>
                  <m:begChr m:val="("/>
                  <m:endChr m:val=")"/>
                  <m:sepChr m:val=""/>
                  <m:grow/>
                </m:dPr>
                <m:e>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Physical commands are reconstructed from normalized</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p>
                <m:e>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e>
                <m:sup>
                  <m:r>
                    <w:rPr>
                      <w:rFonts w:ascii="Times New Roman" w:hAnsi="Times New Roman" w:eastAsia="Times New Roman" w:cs="Times New Roman"/>
                      <w:highlight w:val="yellow"/>
                    </w:rPr>
                    <m:t>3</m:t>
                  </m:r>
                </m:sup>
              </m:sSup>
            </m:oMath>
            <w:r>
              <w:rPr>
                <w:rFonts w:ascii="Times New Roman" w:hAnsi="Times New Roman" w:eastAsia="Times New Roman" w:cs="Times New Roman"/>
                <w:sz w:val="18"/>
                <w:szCs w:val="18"/>
                <w:highlight w:val="yellow"/>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Main-steam pressure limit</w:t>
            </w:r>
          </w:p>
        </w:tc>
        <w:tc>
          <w:tcPr>
            <w:tcW w:w="2200" w:type="dxa"/>
            <w:tcBorders>
              <w:top w:val="nil"/>
              <w:bottom w:val="nil"/>
              <w:left w:val="nil"/>
              <w:right w:val="nil"/>
              <w:insideH w:val="nil"/>
              <w:insideV w:val="nil"/>
            </w:tcBorders>
          </w:tcPr>
          <w:p>
            <w:pPr>
              <w:pStyle w:val="13"/>
              <w:jc w:val="left"/>
            </w:pP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d>
                <m:dPr>
                  <m:begChr m:val="["/>
                  <m:endChr m:val="]"/>
                  <m:sepChr m:val=""/>
                  <m:grow/>
                </m:dPr>
                <m:e>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e>
              </m:d>
            </m:oMath>
            <w:r>
              <w:rPr>
                <w:rFonts w:ascii="Times New Roman" w:hAnsi="Times New Roman" w:eastAsia="Times New Roman" w:cs="Times New Roman"/>
                <w:sz w:val="18"/>
                <w:szCs w:val="18"/>
                <w:highlight w:val="yellow"/>
              </w:rPr>
              <w:t xml:space="preserve"> MPa;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Range 2670–2830 kJ/kg;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18"/>
                <w:szCs w:val="18"/>
                <w:highlight w:val="yellow"/>
              </w:rPr>
              <w:t xml:space="preserve"> MW; relative degree</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highlight w:val="yellow"/>
        </w:rPr>
        <w:t xml:space="preserve">Evaluate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oMath>
      <w:r>
        <w:rPr>
          <w:rFonts w:ascii="Times New Roman" w:hAnsi="Times New Roman" w:eastAsia="Times New Roman" w:cs="Times New Roman"/>
          <w:sz w:val="20"/>
          <w:szCs w:val="20"/>
          <w:highlight w:val="yellow"/>
        </w:rPr>
        <w:t xml:space="preserve">.</w:t>
      </w:r>
    </w:p>
    <w:p>
      <w:pPr>
        <w:numPr>
          <w:ilvl w:val="0"/>
          <w:numId w:val="1002"/>
        </w:numPr>
        <w:jc w:val="left"/>
      </w:pPr>
      <w:r>
        <w:rPr>
          <w:rFonts w:ascii="Times New Roman" w:hAnsi="Times New Roman" w:eastAsia="Times New Roman" w:cs="Times New Roman"/>
          <w:sz w:val="20"/>
          <w:szCs w:val="20"/>
          <w:highlight w:val="yellow"/>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highlight w:val="yellow"/>
        </w:rPr>
        <w:t xml:space="preserve">Propagate GP uncertainty through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ψ</m:t>
        </m:r>
      </m:oMath>
      <w:r>
        <w:rPr>
          <w:rFonts w:ascii="Times New Roman" w:hAnsi="Times New Roman" w:eastAsia="Times New Roman" w:cs="Times New Roman"/>
          <w:sz w:val="20"/>
          <w:szCs w:val="20"/>
          <w:highlight w:val="yellow"/>
        </w:rPr>
        <w:t xml:space="preserve">-chain to compute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oMath>
      <w:r>
        <w:rPr>
          <w:rFonts w:ascii="Times New Roman" w:hAnsi="Times New Roman" w:eastAsia="Times New Roman" w:cs="Times New Roman"/>
          <w:sz w:val="20"/>
          <w:szCs w:val="20"/>
          <w:highlight w:val="yellow"/>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arg min</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bSup>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up>
                    <m:r>
                      <w:rPr>
                        <w:rFonts w:ascii="Times New Roman" w:hAnsi="Times New Roman" w:eastAsia="Times New Roman" w:cs="Times New Roman"/>
                        <w:highlight w:val="yellow"/>
                      </w:rPr>
                      <m:t>2</m:t>
                    </m:r>
                  </m:sup>
                </m:sSubSup>
                <m:r>
                  <w:rPr>
                    <w:rFonts w:ascii="Times New Roman" w:hAnsi="Times New Roman" w:eastAsia="Times New Roman" w:cs="Times New Roman"/>
                    <w:highlight w:val="yellow"/>
                  </w:rPr>
                  <m:t> </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A</m:t>
                </m:r>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scr m:val="script"/>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highlight w:val="yellow"/>
        </w:rPr>
        <w:t xml:space="preserve">Apply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normalized command deviation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command. The GP-mean-corrected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reserved for the no-GP nominal-model ablation.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e>
                    </m:d>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highlight w:val="yellow"/>
                      </w:rPr>
                      <m:t>x</m:t>
                    </m:r>
                  </m:e>
                </m:acc>
                <m:r>
                  <m:rPr>
                    <m:sty m:val="p"/>
                  </m:rPr>
                  <w:rPr>
                    <w:rFonts w:ascii="Times New Roman" w:hAnsi="Times New Roman" w:eastAsia="Times New Roman" w:cs="Times New Roman"/>
                    <w:highlight w:val="yellow"/>
                  </w:rPr>
                  <m:t>=</m:t>
                </m:r>
                <m:limLow>
                  <m:e>
                    <m:limLow>
                      <m:e>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u</m:t>
                        </m:r>
                      </m:e>
                      <m:lim>
                        <m:r>
                          <m:rPr>
                            <m:sty m:val="p"/>
                          </m:rPr>
                          <w:rPr>
                            <w:rFonts w:ascii="Times New Roman" w:hAnsi="Times New Roman" w:eastAsia="Times New Roman" w:cs="Times New Roman"/>
                            <w:highlight w:val="yellow"/>
                          </w:rPr>
                          <m:t>⏟</m:t>
                        </m:r>
                      </m:lim>
                    </m:limLow>
                  </m:e>
                  <m:lim>
                    <m:r>
                      <m:rPr>
                        <m:nor/>
                        <m:sty m:val="p"/>
                      </m:rPr>
                      <w:rPr>
                        <w:rFonts w:ascii="Times New Roman" w:hAnsi="Times New Roman" w:eastAsia="Times New Roman" w:cs="Times New Roman"/>
                        <w:highlight w:val="yellow"/>
                      </w:rPr>
                      <m:t>nominal</m:t>
                    </m:r>
                  </m:lim>
                </m:limLow>
                <m:r>
                  <m:rPr>
                    <m:sty m:val="p"/>
                  </m:rPr>
                  <w:rPr>
                    <w:rFonts w:ascii="Times New Roman" w:hAnsi="Times New Roman" w:eastAsia="Times New Roman" w:cs="Times New Roman"/>
                    <w:highlight w:val="yellow"/>
                  </w:rPr>
                  <m:t>+</m:t>
                </m:r>
                <m:limLow>
                  <m:e>
                    <m:limLow>
                      <m:e>
                        <m:r>
                          <w:rPr>
                            <w:rFonts w:ascii="Times New Roman" w:hAnsi="Times New Roman" w:eastAsia="Times New Roman" w:cs="Times New Roman"/>
                            <w:highlight w:val="yellow"/>
                          </w:rPr>
                          <m:t>Δ</m:t>
                        </m:r>
                        <m:r>
                          <w:rPr>
                            <w:rFonts w:ascii="Times New Roman" w:hAnsi="Times New Roman" w:eastAsia="Times New Roman" w:cs="Times New Roman"/>
                            <w:highlight w:val="yellow"/>
                          </w:rPr>
                          <m:t>f</m:t>
                        </m:r>
                        <m:d>
                          <m:dPr>
                            <m:begChr m:val="("/>
                            <m:endChr m:val=")"/>
                            <m:sepChr m:val=""/>
                            <m:grow/>
                          </m:dPr>
                          <m:e>
                            <m:r>
                              <w:rPr>
                                <w:rFonts w:ascii="Times New Roman" w:hAnsi="Times New Roman" w:eastAsia="Times New Roman" w:cs="Times New Roman"/>
                                <w:highlight w:val="yellow"/>
                              </w:rPr>
                              <m:t>x</m:t>
                            </m:r>
                          </m:e>
                        </m:d>
                      </m:e>
                      <m:lim>
                        <m:r>
                          <m:rPr>
                            <m:sty m:val="p"/>
                          </m:rPr>
                          <w:rPr>
                            <w:rFonts w:ascii="Times New Roman" w:hAnsi="Times New Roman" w:eastAsia="Times New Roman" w:cs="Times New Roman"/>
                            <w:highlight w:val="yellow"/>
                          </w:rPr>
                          <m:t>⏟</m:t>
                        </m:r>
                      </m:lim>
                    </m:limLow>
                  </m:e>
                  <m:lim>
                    <m:r>
                      <m:rPr>
                        <m:nor/>
                        <m:sty m:val="p"/>
                      </m:rPr>
                      <w:rPr>
                        <w:rFonts w:ascii="Times New Roman" w:hAnsi="Times New Roman" w:eastAsia="Times New Roman" w:cs="Times New Roman"/>
                        <w:highlight w:val="yellow"/>
                      </w:rPr>
                      <m:t>residual</m:t>
                    </m:r>
                  </m:lim>
                </m:limLow>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p>
                  <m:e>
                    <m:r>
                      <m:rPr>
                        <m:sty m:val="p"/>
                        <m:scr m:val="double-struck"/>
                      </m:rPr>
                      <w:rPr>
                        <w:rFonts w:ascii="Times New Roman" w:hAnsi="Times New Roman" w:eastAsia="Times New Roman" w:cs="Times New Roman"/>
                        <w:highlight w:val="yellow"/>
                      </w:rPr>
                      <m:t>R</m:t>
                    </m:r>
                  </m:e>
                  <m:sup>
                    <m:r>
                      <w:rPr>
                        <w:rFonts w:ascii="Times New Roman" w:hAnsi="Times New Roman" w:eastAsia="Times New Roman" w:cs="Times New Roman"/>
                        <w:highlight w:val="yellow"/>
                      </w:rPr>
                      <m:t>n</m:t>
                    </m:r>
                  </m:sup>
                </m:s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m:t>
                </m:r>
                <m:sSup>
                  <m:e>
                    <m:r>
                      <m:rPr>
                        <m:sty m:val="p"/>
                        <m:scr m:val="double-struck"/>
                      </m:rPr>
                      <w:rPr>
                        <w:rFonts w:ascii="Times New Roman" w:hAnsi="Times New Roman" w:eastAsia="Times New Roman" w:cs="Times New Roman"/>
                        <w:highlight w:val="yellow"/>
                      </w:rPr>
                      <m:t>R</m:t>
                    </m:r>
                  </m:e>
                  <m:sup>
                    <m:r>
                      <w:rPr>
                        <w:rFonts w:ascii="Times New Roman" w:hAnsi="Times New Roman" w:eastAsia="Times New Roman" w:cs="Times New Roman"/>
                        <w:highlight w:val="yellow"/>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highlight w:val="yellow"/>
        </w:rPr>
        <w:t xml:space="preserve">The benchmark pressure output is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0.13</m:t>
        </m:r>
        <m:sSubSup>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0.882</m:t>
            </m:r>
          </m:sup>
        </m:sSubSup>
      </m:oMath>
      <w:r>
        <w:rPr>
          <w:rFonts w:ascii="Times New Roman" w:hAnsi="Times New Roman" w:eastAsia="Times New Roman" w:cs="Times New Roman"/>
          <w:sz w:val="20"/>
          <w:szCs w:val="20"/>
          <w:highlight w:val="yellow"/>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m>
                  <m:mPr>
                    <m:baseJc m:val="center"/>
                    <m:plcHide m:val="on"/>
                    <m:mcs>
                      <m:mc>
                        <m:mcPr>
                          <m:mcJc m:val="right"/>
                          <m:count m:val="1"/>
                        </m:mcPr>
                      </m:mc>
                      <m:mc>
                        <m:mcPr>
                          <m:mcJc m:val="left"/>
                          <m:count m:val="1"/>
                        </m:mcPr>
                      </m:mc>
                    </m:mcs>
                  </m:mPr>
                  <m:m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13</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24</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e>
                  </m:mr>
                  <m:m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2670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2830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e>
                  </m:mr>
                  <m:mr>
                    <m:e>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U</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e>
                  </m:mr>
                </m:m>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highlight w:val="yellow"/>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highlight w:val="yellow"/>
        </w:rPr>
        <w:t xml:space="preserve">For a constraint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h</m:t>
        </m:r>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relative degree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oMath>
      <w:r>
        <w:rPr>
          <w:rFonts w:ascii="Times New Roman" w:hAnsi="Times New Roman" w:eastAsia="Times New Roman" w:cs="Times New Roman"/>
          <w:sz w:val="20"/>
          <w:szCs w:val="20"/>
          <w:highlight w:val="yellow"/>
        </w:rPr>
        <w:t xml:space="preserve">, the HOCBF</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ψ</m:t>
        </m:r>
      </m:oMath>
      <w:r>
        <w:rPr>
          <w:rFonts w:ascii="Times New Roman" w:hAnsi="Times New Roman" w:eastAsia="Times New Roman" w:cs="Times New Roman"/>
          <w:sz w:val="20"/>
          <w:szCs w:val="20"/>
          <w:highlight w:val="yellow"/>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h</m:t>
                </m:r>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d>
                  <m:dPr>
                    <m:begChr m:val="("/>
                    <m:endChr m:val=")"/>
                    <m:sepChr m:val=""/>
                    <m:grow/>
                  </m:dPr>
                  <m:e>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highlight w:val="yellow"/>
        </w:rPr>
        <w:t xml:space="preserve">For the six barriers indexed by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c</m:t>
        </m:r>
      </m:oMath>
      <w:r>
        <w:rPr>
          <w:rFonts w:ascii="Times New Roman" w:hAnsi="Times New Roman" w:eastAsia="Times New Roman" w:cs="Times New Roman"/>
          <w:sz w:val="20"/>
          <w:szCs w:val="20"/>
          <w:highlight w:val="yellow"/>
        </w:rPr>
        <w:t xml:space="preserve">, with relative degree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oMath>
      <w:r>
        <w:rPr>
          <w:rFonts w:ascii="Times New Roman" w:hAnsi="Times New Roman" w:eastAsia="Times New Roman" w:cs="Times New Roman"/>
          <w:sz w:val="20"/>
          <w:szCs w:val="20"/>
          <w:highlight w:val="yellow"/>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m:rPr>
                        <m:sty m:val="p"/>
                        <m:scr m:val="script"/>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m:rPr>
                    <m:sty m:val="p"/>
                    <m:scr m:val="script"/>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limLow>
                  <m:e>
                    <m:limUpp>
                      <m:e>
                        <m:r>
                          <m:rPr>
                            <m:sty m:val="p"/>
                          </m:rPr>
                          <w:rPr>
                            <w:rFonts w:ascii="Times New Roman" w:hAnsi="Times New Roman" w:eastAsia="Times New Roman" w:cs="Times New Roman"/>
                            <w:highlight w:val="yellow"/>
                          </w:rPr>
                          <m:t>⋂</m:t>
                        </m:r>
                      </m:e>
                      <m:lim>
                        <m:r>
                          <w:rPr>
                            <w:rFonts w:ascii="Times New Roman" w:hAnsi="Times New Roman" w:eastAsia="Times New Roman" w:cs="Times New Roman"/>
                            <w:highlight w:val="yellow"/>
                          </w:rPr>
                          <m:t>6</m:t>
                        </m:r>
                      </m:lim>
                    </m:limUpp>
                  </m:e>
                  <m:lim>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Low>
                <m:limLow>
                  <m:e>
                    <m:limUpp>
                      <m:e>
                        <m:r>
                          <m:rPr>
                            <m:sty m:val="p"/>
                          </m:rPr>
                          <w:rPr>
                            <w:rFonts w:ascii="Times New Roman" w:hAnsi="Times New Roman" w:eastAsia="Times New Roman" w:cs="Times New Roman"/>
                            <w:highlight w:val="yellow"/>
                          </w:rPr>
                          <m:t>⋂</m:t>
                        </m:r>
                      </m:e>
                      <m:lim>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lim>
                    </m:limUpp>
                  </m:e>
                  <m:lim>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lim>
                </m:limLow>
                <m:sSub>
                  <m:e>
                    <m:r>
                      <m:rPr>
                        <m:sty m:val="p"/>
                        <m:scr m:val="script"/>
                      </m:rP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linear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α</m:t>
            </m:r>
          </m:e>
          <m:sub>
            <m:r>
              <w:rPr>
                <w:rFonts w:ascii="Times New Roman" w:hAnsi="Times New Roman" w:eastAsia="Times New Roman" w:cs="Times New Roman"/>
                <w:highlight w:val="yellow"/>
              </w:rPr>
              <m:t>i</m:t>
            </m:r>
          </m:sub>
        </m:sSub>
        <m:d>
          <m:dPr>
            <m:begChr m:val="("/>
            <m:endChr m:val=")"/>
            <m:sepChr m:val=""/>
            <m:grow/>
          </m:dPr>
          <m:e>
            <m:r>
              <w:rPr>
                <w:rFonts w:ascii="Times New Roman" w:hAnsi="Times New Roman" w:eastAsia="Times New Roman" w:cs="Times New Roman"/>
                <w:highlight w:val="yellow"/>
              </w:rPr>
              <m:t>r</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substituting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into the stabilized model gives a top-level affine row. For the GP-mean-corrected drift</w:t>
      </w:r>
      <w:r>
        <w:rPr>
          <w:rFonts w:ascii="Times New Roman" w:hAnsi="Times New Roman" w:eastAsia="Times New Roman" w:cs="Times New Roman"/>
          <w:sz w:val="20"/>
          <w:szCs w:val="20"/>
          <w:highlight w:val="yellow"/>
        </w:rPr>
        <w:t xml:space="preserve"> </w:t>
      </w:r>
      <m:oMath>
        <m:acc>
          <m:accPr>
            <m:chr m:val="̂"/>
          </m:accPr>
          <m:e>
            <m:r>
              <w:rPr>
                <w:rFonts w:ascii="Times New Roman" w:hAnsi="Times New Roman" w:eastAsia="Times New Roman" w:cs="Times New Roman"/>
                <w:highlight w:val="yellow"/>
              </w:rPr>
              <m:t>f</m:t>
            </m:r>
          </m:e>
        </m:acc>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this row is defined by</w:t>
      </w:r>
      <w:r>
        <w:rPr>
          <w:rFonts w:ascii="Times New Roman" w:hAnsi="Times New Roman" w:eastAsia="Times New Roman" w:cs="Times New Roman"/>
          <w:sz w:val="20"/>
          <w:szCs w:val="20"/>
          <w:highlight w:val="yellow"/>
        </w:rPr>
        <w:t xml:space="preserve"> </w:t>
      </w:r>
      <m:oMath>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m</m:t>
                </m:r>
              </m:e>
              <m:sub>
                <m:r>
                  <w:rPr>
                    <w:rFonts w:ascii="Times New Roman" w:hAnsi="Times New Roman" w:eastAsia="Times New Roman" w:cs="Times New Roman"/>
                    <w:highlight w:val="yellow"/>
                  </w:rPr>
                  <m:t>c</m:t>
                </m:r>
              </m:sub>
            </m:sSub>
          </m:sub>
          <m:sup>
            <m:r>
              <w:rPr>
                <w:rFonts w:ascii="Times New Roman" w:hAnsi="Times New Roman" w:eastAsia="Times New Roman" w:cs="Times New Roman"/>
                <w:highlight w:val="yellow"/>
              </w:rPr>
              <m:t>0</m:t>
            </m:r>
          </m:sup>
        </m:sSubSup>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c</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c</m:t>
            </m:r>
          </m:sub>
        </m:sSub>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is stacked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Applying the same construction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without GP correction gives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1. </w:t>
      </w:r>
      <w:r>
        <w:rPr>
          <w:rFonts w:ascii="Times New Roman" w:hAnsi="Times New Roman" w:eastAsia="Times New Roman" w:cs="Times New Roman"/>
          <w:sz w:val="20"/>
          <w:szCs w:val="20"/>
          <w:highlight w:val="yellow"/>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The physical command is reconstructed with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by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e>
        </m:d>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d>
                  <m:dPr>
                    <m:begChr m:val="|"/>
                    <m:endChr m:val="|"/>
                    <m:sepChr m:val=""/>
                    <m:grow/>
                  </m:dPr>
                  <m:e>
                    <m: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d>
              <m:dPr>
                <m:begChr m:val="("/>
                <m:endChr m:val=")"/>
                <m:sepChr m:val=""/>
                <m:grow/>
              </m:dPr>
              <m:e>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d>
                  <m:dPr>
                    <m:begChr m:val="("/>
                    <m:endChr m:val=")"/>
                    <m:sepChr m:val=""/>
                    <m:grow/>
                  </m:dPr>
                  <m:e>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e>
                </m:d>
              </m:e>
            </m:d>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d>
              <m:dPr>
                <m:begChr m:val="("/>
                <m:endChr m:val=")"/>
                <m:sepChr m:val=""/>
                <m:grow/>
              </m:dPr>
              <m:e>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d>
                  <m:dPr>
                    <m:begChr m:val="("/>
                    <m:endChr m:val=")"/>
                    <m:sepChr m:val=""/>
                    <m:grow/>
                  </m:dPr>
                  <m:e>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e>
                </m:d>
              </m:e>
            </m:d>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(9)</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m>
                  <m:mPr>
                    <m:baseJc m:val="center"/>
                    <m:plcHide m:val="on"/>
                    <m:mcs>
                      <m:mc>
                        <m:mcPr>
                          <m:mcJc m:val="right"/>
                          <m:count m:val="1"/>
                        </m:mcPr>
                      </m:mc>
                      <m:mc>
                        <m:mcPr>
                          <m:mcJc m:val="left"/>
                          <m:count m:val="1"/>
                        </m:mcPr>
                      </m:mc>
                    </m:mcs>
                  </m:mPr>
                  <m:mr>
                    <m:e>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1</m:t>
                          </m:r>
                        </m:sub>
                      </m:sSub>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r>
                        <w:rPr>
                          <w:rFonts w:ascii="Times New Roman" w:hAnsi="Times New Roman" w:eastAsia="Times New Roman" w:cs="Times New Roman"/>
                          <w:highlight w:val="yellow"/>
                        </w:rPr>
                        <m:t>h</m:t>
                      </m:r>
                    </m:e>
                  </m:mr>
                  <m:mr>
                    <m:e>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sub>
                      </m:sSub>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e>
                      </m:d>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e>
                  </m:mr>
                </m:m>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m>
                  <m:mPr>
                    <m:baseJc m:val="center"/>
                    <m:plcHide m:val="on"/>
                    <m:mcs>
                      <m:mc>
                        <m:mcPr>
                          <m:mcJc m:val="right"/>
                          <m:count m:val="1"/>
                        </m:mcPr>
                      </m:mc>
                      <m:mc>
                        <m:mcPr>
                          <m:mcJc m:val="left"/>
                          <m:count m:val="1"/>
                        </m:mcPr>
                      </m:mc>
                    </m:mcs>
                  </m:mPr>
                  <m:mr>
                    <m:e>
                      <m:sSub>
                        <m:e>
                          <m:r>
                            <w:rPr>
                              <w:rFonts w:ascii="Times New Roman" w:hAnsi="Times New Roman" w:eastAsia="Times New Roman" w:cs="Times New Roman"/>
                              <w:highlight w:val="yellow"/>
                            </w:rPr>
                            <m:t>σ</m:t>
                          </m:r>
                        </m:e>
                        <m:sub>
                          <m:r>
                            <w:rPr>
                              <w:rFonts w:ascii="Times New Roman" w:hAnsi="Times New Roman" w:eastAsia="Times New Roman" w:cs="Times New Roman"/>
                              <w:highlight w:val="yellow"/>
                            </w:rPr>
                            <m:t>1</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e>
                          </m:d>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e>
                  </m:mr>
                  <m:mr>
                    <m:e>
                      <m:sSub>
                        <m:e>
                          <m:r>
                            <w:rPr>
                              <w:rFonts w:ascii="Times New Roman" w:hAnsi="Times New Roman" w:eastAsia="Times New Roman" w:cs="Times New Roman"/>
                              <w:highlight w:val="yellow"/>
                            </w:rPr>
                            <m:t>σ</m:t>
                          </m:r>
                        </m:e>
                        <m:sub>
                          <m:r>
                            <w:rPr>
                              <w:rFonts w:ascii="Times New Roman" w:hAnsi="Times New Roman" w:eastAsia="Times New Roman" w:cs="Times New Roman"/>
                              <w:highlight w:val="yellow"/>
                            </w:rPr>
                            <m:t>i</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d>
                            <m:dPr>
                              <m:begChr m:val="|"/>
                              <m:endChr m:val="|"/>
                              <m:sepChr m:val=""/>
                              <m:grow/>
                            </m:dPr>
                            <m:e>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e>
                          </m:d>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d>
                        <m:dPr>
                          <m:begChr m:val="("/>
                          <m:endChr m:val=")"/>
                          <m:sepChr m:val=""/>
                          <m:grow/>
                        </m:dPr>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w:rPr>
                                  <w:rFonts w:ascii="Times New Roman" w:hAnsi="Times New Roman" w:eastAsia="Times New Roman" w:cs="Times New Roman"/>
                                  <w:highlight w:val="yellow"/>
                                </w:rPr>
                                <m:t>i</m:t>
                              </m:r>
                            </m:sub>
                          </m:sSub>
                        </m:e>
                      </m:d>
                      <m:sSub>
                        <m:e>
                          <m:r>
                            <w:rPr>
                              <w:rFonts w:ascii="Times New Roman" w:hAnsi="Times New Roman" w:eastAsia="Times New Roman" w:cs="Times New Roman"/>
                              <w:highlight w:val="yellow"/>
                            </w:rPr>
                            <m:t>σ</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d>
                            <m:dPr>
                              <m:begChr m:val="("/>
                              <m:endChr m:val=")"/>
                              <m:sepChr m:val=""/>
                              <m:grow/>
                            </m:dPr>
                            <m:e>
                              <m:r>
                                <w:rPr>
                                  <w:rFonts w:ascii="Times New Roman" w:hAnsi="Times New Roman" w:eastAsia="Times New Roman" w:cs="Times New Roman"/>
                                  <w:highlight w:val="yellow"/>
                                </w:rPr>
                                <m:t>i</m:t>
                              </m:r>
                            </m:e>
                          </m:d>
                        </m:sup>
                      </m:sSubSup>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e>
                  </m:mr>
                  <m:mr>
                    <m:e>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e>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w:rPr>
                              <w:rFonts w:ascii="Times New Roman" w:hAnsi="Times New Roman" w:eastAsia="Times New Roman" w:cs="Times New Roman"/>
                              <w:highlight w:val="yellow"/>
                            </w:rPr>
                            <m:t>m</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nary>
                        <m:naryPr>
                          <m:chr m:val="∑"/>
                          <m:limLoc m:val="undOvr"/>
                          <m:subHide m:val="off"/>
                          <m:supHide m:val="off"/>
                        </m:naryPr>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e>
                      </m:nary>
                      <m:sSub>
                        <m:e>
                          <m:r>
                            <w:rPr>
                              <w:rFonts w:ascii="Times New Roman" w:hAnsi="Times New Roman" w:eastAsia="Times New Roman" w:cs="Times New Roman"/>
                              <w:highlight w:val="yellow"/>
                            </w:rPr>
                            <m:t>σ</m:t>
                          </m:r>
                        </m:e>
                        <m:sub>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e>
                  </m:mr>
                </m:m>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d>
              <m:dPr>
                <m:begChr m:val="("/>
                <m:endChr m:val=")"/>
                <m:sepChr m:val=""/>
                <m:grow/>
              </m:dPr>
              <m:e>
                <m:r>
                  <w:rPr>
                    <w:rFonts w:ascii="Times New Roman" w:hAnsi="Times New Roman" w:eastAsia="Times New Roman" w:cs="Times New Roman"/>
                    <w:highlight w:val="yellow"/>
                  </w:rPr>
                  <m:t>i</m:t>
                </m:r>
              </m:e>
            </m:d>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d>
          <m:dPr>
            <m:begChr m:val="|"/>
            <m:endChr m:val="|"/>
            <m:sepChr m:val=""/>
            <m:grow/>
          </m:dPr>
          <m:e>
            <m:sSub>
              <m:e>
                <m:r>
                  <w:rPr>
                    <w:rFonts w:ascii="Times New Roman" w:hAnsi="Times New Roman" w:eastAsia="Times New Roman" w:cs="Times New Roman"/>
                    <w:highlight w:val="yellow"/>
                  </w:rPr>
                  <m:t>L</m:t>
                </m:r>
              </m:e>
              <m:sub>
                <m: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e>
        </m:d>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d>
              <m:dPr>
                <m:begChr m:val="("/>
                <m:endChr m:val=")"/>
                <m:sepChr m:val=""/>
                <m:grow/>
              </m:dPr>
              <m:e>
                <m:r>
                  <w:rPr>
                    <w:rFonts w:ascii="Times New Roman" w:hAnsi="Times New Roman" w:eastAsia="Times New Roman" w:cs="Times New Roman"/>
                    <w:highlight w:val="yellow"/>
                  </w:rPr>
                  <m:t>i</m:t>
                </m:r>
              </m:e>
            </m:d>
          </m:sup>
        </m:sSubSup>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d>
          <m:dPr>
            <m:begChr m:val="("/>
            <m:endChr m:val=")"/>
            <m:sepChr m:val=""/>
            <m:grow/>
          </m:dPr>
          <m:e>
            <m:r>
              <w:rPr>
                <w:rFonts w:ascii="Times New Roman" w:hAnsi="Times New Roman" w:eastAsia="Times New Roman" w:cs="Times New Roman"/>
                <w:highlight w:val="yellow"/>
              </w:rPr>
              <m:t>x</m:t>
            </m:r>
          </m:e>
        </m:d>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d>
          <m:dPr>
            <m:begChr m:val="("/>
            <m:endChr m:val=")"/>
            <m:sepChr m:val=""/>
            <m:grow/>
          </m:dPr>
          <m:e>
            <m:r>
              <w:rPr>
                <w:rFonts w:ascii="Times New Roman" w:hAnsi="Times New Roman" w:eastAsia="Times New Roman" w:cs="Times New Roman"/>
                <w:highlight w:val="yellow"/>
              </w:rPr>
              <m:t>x</m:t>
            </m:r>
          </m:e>
        </m:d>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nary>
                  <m:naryPr>
                    <m:chr m:val="∑"/>
                    <m:limLoc m:val="undOvr"/>
                    <m:subHide m:val="off"/>
                    <m:supHide m:val="on"/>
                  </m:naryPr>
                  <m:sub>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
                    </m:r>
                  </m:sup>
                  <m:e>
                    <m:sSub>
                      <m:e>
                        <m:d>
                          <m:dPr>
                            <m:begChr m:val="∥"/>
                            <m:endChr m:val="∥"/>
                            <m:sepChr m:val=""/>
                            <m:grow/>
                          </m:dPr>
                          <m:e>
                            <m:f>
                              <m:fPr>
                                <m:type m:val="bar"/>
                              </m:fPr>
                              <m:num>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L</m:t>
                                        </m:r>
                                      </m:e>
                                      <m: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sub>
                                    </m:sSub>
                                    <m:sSubSup>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bSup>
                                    <m:r>
                                      <w:rPr>
                                        <w:rFonts w:ascii="Times New Roman" w:hAnsi="Times New Roman" w:eastAsia="Times New Roman" w:cs="Times New Roman"/>
                                        <w:highlight w:val="yellow"/>
                                      </w:rPr>
                                      <m:t>h</m:t>
                                    </m:r>
                                  </m:e>
                                </m:d>
                              </m:num>
                              <m:den>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j</m:t>
                                    </m:r>
                                  </m:sub>
                                </m:sSub>
                              </m:den>
                            </m:f>
                          </m:e>
                        </m:d>
                      </m:e>
                      <m:sub>
                        <m:r>
                          <w:rPr>
                            <w:rFonts w:ascii="Times New Roman" w:hAnsi="Times New Roman" w:eastAsia="Times New Roman" w:cs="Times New Roman"/>
                            <w:highlight w:val="yellow"/>
                          </w:rPr>
                          <m:t>2</m:t>
                        </m:r>
                      </m:sub>
                    </m:sSub>
                  </m:e>
                </m:nary>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highlight w:val="yellow"/>
        </w:rPr>
        <w:t xml:space="preserve">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0</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max</m:t>
            </m:r>
          </m:sub>
        </m:sSub>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sup</m:t>
            </m:r>
          </m:e>
          <m:sub>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V</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3</m:t>
            </m:r>
          </m:e>
        </m:rad>
      </m:oMath>
      <w:r>
        <w:rPr>
          <w:rFonts w:ascii="Times New Roman" w:hAnsi="Times New Roman" w:eastAsia="Times New Roman" w:cs="Times New Roman"/>
          <w:sz w:val="20"/>
          <w:szCs w:val="20"/>
          <w:highlight w:val="yellow"/>
        </w:rPr>
        <w:t xml:space="preserve">. The chain weights are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nary>
          <m:naryPr>
            <m:chr m:val="∏"/>
            <m:limLoc m:val="undOvr"/>
            <m:subHide m:val="off"/>
            <m:supHide m:val="off"/>
          </m:naryPr>
          <m:sub>
            <m:r>
              <m:rPr>
                <m:sty m:val="p"/>
              </m:rPr>
              <w:rPr>
                <w:rFonts w:ascii="Times New Roman" w:hAnsi="Times New Roman" w:eastAsia="Times New Roman" w:cs="Times New Roman"/>
                <w:highlight w:val="yellow"/>
              </w:rPr>
              <m:t>ℓ</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e>
            <m:d>
              <m:dPr>
                <m:begChr m:val="("/>
                <m:endChr m:val=")"/>
                <m:sepChr m:val=""/>
                <m:grow/>
              </m:dPr>
              <m:e>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k</m:t>
                    </m:r>
                  </m:e>
                  <m:sub>
                    <m:r>
                      <m:rPr>
                        <m:sty m:val="p"/>
                      </m:rPr>
                      <w:rPr>
                        <w:rFonts w:ascii="Times New Roman" w:hAnsi="Times New Roman" w:eastAsia="Times New Roman" w:cs="Times New Roman"/>
                        <w:highlight w:val="yellow"/>
                      </w:rPr>
                      <m:t>ℓ</m:t>
                    </m:r>
                  </m:sub>
                </m:sSub>
              </m:e>
            </m:d>
          </m:e>
        </m:nary>
      </m:oMath>
      <w:r>
        <w:rPr>
          <w:rFonts w:ascii="Times New Roman" w:hAnsi="Times New Roman" w:eastAsia="Times New Roman" w:cs="Times New Roman"/>
          <w:sz w:val="20"/>
          <w:szCs w:val="20"/>
          <w:highlight w:val="yellow"/>
        </w:rPr>
        <w:t xml:space="preserve">, with the empty product equal to one; hence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c</m:t>
            </m:r>
          </m:e>
          <m:sub>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each implemented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barrier. The resulting mean-corrected HOCBF constraint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highlight w:val="yellow"/>
        </w:rPr>
        <w:t xml:space="preserve"> </w:t>
      </w:r>
      <m:oMath>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(9)</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oMath>
      <w:r>
        <w:rPr>
          <w:rFonts w:ascii="Times New Roman" w:hAnsi="Times New Roman" w:eastAsia="Times New Roman" w:cs="Times New Roman"/>
          <w:i/>
          <w:iCs/>
          <w:sz w:val="20"/>
          <w:szCs w:val="20"/>
          <w:highlight w:val="yellow"/>
        </w:rPr>
        <w:t xml:space="preserve">, 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(12)</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d>
          <m:dPr>
            <m:begChr m:val="|"/>
            <m:endChr m:val="|"/>
            <m:sepChr m:val=""/>
            <m:grow/>
          </m:dPr>
          <m:e>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(Robust-QP feasibility).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For every</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scr m:val="script"/>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considered by the certificate, there exists at least one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satisfying</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Theorem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(Conditional probabilistic forward invariance).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Let</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u</m:t>
            </m:r>
            <m:r>
              <m:rPr>
                <m:sty m:val="p"/>
              </m:rPr>
              <w:rPr>
                <w:rFonts w:ascii="Times New Roman" w:hAnsi="Times New Roman" w:eastAsia="Times New Roman" w:cs="Times New Roman"/>
                <w:highlight w:val="yellow"/>
              </w:rPr>
              <m:t>e</m:t>
            </m:r>
          </m:sup>
        </m:sSubSup>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m</m:t>
            </m:r>
          </m:sub>
          <m:sup>
            <m:r>
              <w:rPr>
                <w:rFonts w:ascii="Times New Roman" w:hAnsi="Times New Roman" w:eastAsia="Times New Roman" w:cs="Times New Roman"/>
                <w:highlight w:val="yellow"/>
              </w:rPr>
              <m:t>0</m:t>
            </m:r>
          </m:sup>
        </m:sSubSup>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denote the induced top-level HOCBF residual after substituting the deviation-input model. If</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x</m:t>
        </m:r>
        <m:d>
          <m:dPr>
            <m:begChr m:val="("/>
            <m:endChr m:val=")"/>
            <m:sepChr m:val=""/>
            <m:grow/>
          </m:dPr>
          <m:e>
            <m:r>
              <w:rPr>
                <w:rFonts w:ascii="Times New Roman" w:hAnsi="Times New Roman" w:eastAsia="Times New Roman" w:cs="Times New Roman"/>
                <w:highlight w:val="yellow"/>
              </w:rPr>
              <m:t>0</m:t>
            </m:r>
          </m:e>
        </m:d>
        <m:r>
          <m:rPr>
            <m:sty m:val="p"/>
          </m:rPr>
          <w:rPr>
            <w:rFonts w:ascii="Times New Roman" w:hAnsi="Times New Roman" w:eastAsia="Times New Roman" w:cs="Times New Roman"/>
            <w:highlight w:val="yellow"/>
          </w:rPr>
          <m:t>∈</m:t>
        </m:r>
        <m:r>
          <m:rPr>
            <m:sty m:val="p"/>
            <m:scr m:val="script"/>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then, under Assumptions </w:t>
      </w:r>
      <w:r>
        <w:rPr>
          <w:rFonts w:ascii="Times New Roman" w:hAnsi="Times New Roman" w:eastAsia="Times New Roman" w:cs="Times New Roman"/>
          <w:i/>
          <w:iCs/>
          <w:sz w:val="20"/>
          <w:szCs w:val="20"/>
          <w:highlight w:val="yellow"/>
        </w:rPr>
        <w:t xml:space="preserve">1</w:t>
      </w:r>
      <w:r>
        <w:rPr>
          <w:rFonts w:ascii="Times New Roman" w:hAnsi="Times New Roman" w:eastAsia="Times New Roman" w:cs="Times New Roman"/>
          <w:i/>
          <w:iCs/>
          <w:sz w:val="20"/>
          <w:szCs w:val="20"/>
          <w:highlight w:val="yellow"/>
        </w:rPr>
        <w:t xml:space="preserve">–</w:t>
      </w:r>
      <w:r>
        <w:rPr>
          <w:rFonts w:ascii="Times New Roman" w:hAnsi="Times New Roman" w:eastAsia="Times New Roman" w:cs="Times New Roman"/>
          <w:i/>
          <w:iCs/>
          <w:sz w:val="20"/>
          <w:szCs w:val="20"/>
          <w:highlight w:val="yellow"/>
        </w:rPr>
        <w:t xml:space="preserve">4</w:t>
      </w:r>
      <w:r>
        <w:rPr>
          <w:rFonts w:ascii="Times New Roman" w:hAnsi="Times New Roman" w:eastAsia="Times New Roman" w:cs="Times New Roman"/>
          <w:i/>
          <w:iCs/>
          <w:sz w:val="20"/>
          <w:szCs w:val="20"/>
          <w:highlight w:val="yellow"/>
        </w:rPr>
        <w:t xml:space="preserve">, the QP in Eq.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renders the set</w:t>
      </w:r>
      <w:r>
        <w:rPr>
          <w:rFonts w:ascii="Times New Roman" w:hAnsi="Times New Roman" w:eastAsia="Times New Roman" w:cs="Times New Roman"/>
          <w:i/>
          <w:iCs/>
          <w:sz w:val="20"/>
          <w:szCs w:val="20"/>
          <w:highlight w:val="yellow"/>
        </w:rPr>
        <w:t xml:space="preserve"> </w:t>
      </w:r>
      <m:oMath>
        <m:r>
          <m:rPr>
            <m:sty m:val="p"/>
            <m:scr m:val="script"/>
          </m:rPr>
          <w:rPr>
            <w:rFonts w:ascii="Times New Roman" w:hAnsi="Times New Roman" w:eastAsia="Times New Roman" w:cs="Times New Roman"/>
            <w:highlight w:val="yellow"/>
          </w:rPr>
          <m:t>C</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in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forward invariant 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d>
          <m:dPr>
            <m:begChr m:val="|"/>
            <m:endChr m:val="|"/>
            <m:sepChr m:val=""/>
            <m:grow/>
          </m:dPr>
          <m:e>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e>
            </m:d>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ty m:val="p"/>
            <m:scr m:val="script"/>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QP enforces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i.e., the GP-mean-corrected HOCBF constraint without an additional robustness margin. The separate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w:rPr>
                <w:rFonts w:ascii="Times New Roman" w:hAnsi="Times New Roman" w:eastAsia="Times New Roman" w:cs="Times New Roman"/>
                <w:highlight w:val="yellow"/>
              </w:rPr>
              <m:t>0</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notation denotes the no-GP ablation.</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highlight w:val="yellow"/>
        </w:rPr>
        <w:t xml:space="preserve">The GP posterior includes a regularization floor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f</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r</m:t>
            </m:r>
          </m:sub>
        </m:sSub>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Under constant perturbations,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nearly uniform, so the margin is floor-driven. Under S3 state-dependent coupling,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becomes heterogeneous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data-driven. This distinction explains why additive perturbations can use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d>
          <m:dPr>
            <m:begChr m:val="("/>
            <m:endChr m:val=")"/>
            <m:sepChr m:val=""/>
            <m:grow/>
          </m:dPr>
          <m:e>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p>
          <m:e>
            <m:d>
              <m:dPr>
                <m:begChr m:val="["/>
                <m:endChr m:val="]"/>
                <m:sepChr m:val=""/>
                <m:grow/>
              </m:dPr>
              <m:e>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D</m:t>
                    </m:r>
                  </m:e>
                  <m:sub>
                    <m:r>
                      <w:rPr>
                        <w:rFonts w:ascii="Times New Roman" w:hAnsi="Times New Roman" w:eastAsia="Times New Roman" w:cs="Times New Roman"/>
                        <w:highlight w:val="yellow"/>
                      </w:rPr>
                      <m:t>f</m:t>
                    </m:r>
                    <m:r>
                      <w:rPr>
                        <w:rFonts w:ascii="Times New Roman" w:hAnsi="Times New Roman" w:eastAsia="Times New Roman" w:cs="Times New Roman"/>
                        <w:highlight w:val="yellow"/>
                      </w:rPr>
                      <m:t>w</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t</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sSup>
          <m:e>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e>
          <m:sup>
            <m:r>
              <w:rPr>
                <w:rFonts w:ascii="Times New Roman" w:hAnsi="Times New Roman" w:eastAsia="Times New Roman" w:cs="Times New Roman"/>
                <w:highlight w:val="yellow"/>
              </w:rPr>
              <m:t>3</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physical scales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diag</m:t>
        </m:r>
        <m:d>
          <m:dPr>
            <m:begChr m:val="("/>
            <m:endChr m:val=")"/>
            <m:sepChr m:val=""/>
            <m:grow/>
          </m:dPr>
          <m:e>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oMath>
      <w:r>
        <w:rPr>
          <w:rFonts w:ascii="Times New Roman" w:hAnsi="Times New Roman" w:eastAsia="Times New Roman" w:cs="Times New Roman"/>
          <w:sz w:val="20"/>
          <w:szCs w:val="20"/>
          <w:highlight w:val="yellow"/>
        </w:rPr>
        <w:t xml:space="preserve">. The enforced limits are pressure (13–24 MPa), separator enthalpy (2670–2830 kJ/kg), and generator active power around the dispatch target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All six command-level barriers have relative degree two. The HOCBF uses the sample-matched surrogate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d>
          <m:dPr>
            <m:begChr m:val="("/>
            <m:endChr m:val=")"/>
            <m:sepChr m:val=""/>
            <m:grow/>
          </m:dPr>
          <m:e>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e>
        </m:d>
        <m:d>
          <m:dPr>
            <m:begChr m:val="("/>
            <m:endChr m:val=")"/>
            <m:sepChr m:val=""/>
            <m:grow/>
          </m:dPr>
          <m:e>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t</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oMath>
      <w:r>
        <w:rPr>
          <w:rFonts w:ascii="Times New Roman" w:hAnsi="Times New Roman" w:eastAsia="Times New Roman" w:cs="Times New Roman"/>
          <w:sz w:val="20"/>
          <w:szCs w:val="20"/>
          <w:highlight w:val="yellow"/>
        </w:rPr>
        <w:t xml:space="preserve">; the rollout applies its one-step forward-Euler map</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A</m:t>
            </m:r>
          </m:e>
          <m:sub>
            <m:r>
              <w:rPr>
                <w:rFonts w:ascii="Times New Roman" w:hAnsi="Times New Roman" w:eastAsia="Times New Roman" w:cs="Times New Roman"/>
                <w:highlight w:val="yellow"/>
              </w:rPr>
              <m:t>d</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e>
        </m:d>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s</m:t>
            </m:r>
          </m:sub>
        </m:sSub>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Thus, the HOCBF rows and controller-instant transition use the same drift and command matrices.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the true-drift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ψ</m:t>
            </m:r>
          </m:e>
          <m:sub>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d>
          <m:dPr>
            <m:begChr m:val="("/>
            <m:endChr m:val=")"/>
            <m:sepChr m:val=""/>
            <m:grow/>
          </m:dPr>
          <m:e>
            <m:r>
              <w:rPr>
                <w:rFonts w:ascii="Times New Roman" w:hAnsi="Times New Roman" w:eastAsia="Times New Roman" w:cs="Times New Roman"/>
                <w:highlight w:val="yellow"/>
              </w:rPr>
              <m:t>x</m:t>
            </m:r>
          </m:e>
        </m:d>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sSup>
          <m:e>
            <m:d>
              <m:dPr>
                <m:begChr m:val="["/>
                <m:endChr m:val="]"/>
                <m:sepChr m:val=""/>
                <m:grow/>
              </m:dPr>
              <m:e>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e>
            </m:d>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dynamics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normalized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e>
        </m:d>
      </m:oMath>
      <w:r>
        <w:rPr>
          <w:rFonts w:ascii="Times New Roman" w:hAnsi="Times New Roman" w:eastAsia="Times New Roman" w:cs="Times New Roman"/>
          <w:sz w:val="20"/>
          <w:szCs w:val="20"/>
          <w:highlight w:val="yellow"/>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d>
          <m:dPr>
            <m:begChr m:val="("/>
            <m:endChr m:val=")"/>
            <m:sepChr m:val=""/>
            <m:grow/>
          </m:dPr>
          <m:e>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e>
        </m: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d>
          <m:dPr>
            <m:begChr m:val="("/>
            <m:endChr m:val=")"/>
            <m:sepChr m:val=""/>
            <m:grow/>
          </m:dPr>
          <m:e>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e>
        </m:d>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highlight w:val="yellow"/>
                      </w:rPr>
                      <m:t>R</m:t>
                    </m:r>
                  </m:e>
                  <m:sub>
                    <m:r>
                      <m:rPr>
                        <m:sty m:val="p"/>
                      </m:rP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η</m:t>
                    </m:r>
                  </m:e>
                </m:d>
                <m:r>
                  <m:rPr>
                    <m:sty m:val="p"/>
                  </m:rPr>
                  <w:rPr>
                    <w:rFonts w:ascii="Times New Roman" w:hAnsi="Times New Roman" w:eastAsia="Times New Roman" w:cs="Times New Roman"/>
                    <w:highlight w:val="yellow"/>
                  </w:rPr>
                  <m:t>=</m:t>
                </m:r>
                <m:f>
                  <m:fPr>
                    <m:type m:val="bar"/>
                  </m:fPr>
                  <m:num>
                    <m:nary>
                      <m:naryPr>
                        <m:chr m:val="∑"/>
                        <m:limLoc m:val="undOvr"/>
                        <m:subHide m:val="off"/>
                        <m:supHide m:val="off"/>
                      </m:naryPr>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up>
                      <m:e>
                        <m:nary>
                          <m:naryPr>
                            <m:chr m:val="∑"/>
                            <m:limLoc m:val="undOvr"/>
                            <m:subHide m:val="off"/>
                            <m:supHide m:val="off"/>
                          </m:naryPr>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nary>
                              <m:naryPr>
                                <m:chr m:val="∑"/>
                                <m:limLoc m:val="undOvr"/>
                                <m:subHide m:val="off"/>
                                <m:supHide m:val="off"/>
                              </m:naryPr>
                              <m:sub>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up>
                              <m:e>
                                <m:r>
                                  <m:rPr>
                                    <m:sty m:val="b"/>
                                  </m:rPr>
                                  <w:rPr>
                                    <w:rFonts w:ascii="Times New Roman" w:hAnsi="Times New Roman" w:eastAsia="Times New Roman" w:cs="Times New Roman"/>
                                    <w:highlight w:val="yellow"/>
                                  </w:rPr>
                                  <m:t>1</m:t>
                                </m:r>
                              </m:e>
                            </m:nary>
                          </m:e>
                        </m:nary>
                      </m:e>
                    </m:nary>
                    <m:r>
                      <m:rPr>
                        <m:sty m:val="p"/>
                      </m:rPr>
                      <w:rPr>
                        <w:rFonts w:ascii="Times New Roman" w:hAnsi="Times New Roman" w:eastAsia="Times New Roman" w:cs="Times New Roman"/>
                        <w:highlight w:val="yellow"/>
                      </w:rPr>
                      <m:t>{</m:t>
                    </m:r>
                    <m:limLow>
                      <m:e>
                        <m:r>
                          <m:rPr>
                            <m:sty m:val="p"/>
                          </m:rPr>
                          <w:rPr>
                            <w:rFonts w:ascii="Times New Roman" w:hAnsi="Times New Roman" w:eastAsia="Times New Roman" w:cs="Times New Roman"/>
                            <w:highlight w:val="yellow"/>
                          </w:rPr>
                          <m:t>min</m:t>
                        </m:r>
                      </m:e>
                      <m:lim>
                        <m:r>
                          <w:rPr>
                            <w:rFonts w:ascii="Times New Roman" w:hAnsi="Times New Roman" w:eastAsia="Times New Roman" w:cs="Times New Roman"/>
                            <w:highlight w:val="yellow"/>
                          </w:rPr>
                          <m:t>j</m:t>
                        </m:r>
                      </m:lim>
                    </m:limLow>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j</m:t>
                        </m:r>
                      </m:sub>
                    </m:sSub>
                    <m:d>
                      <m:dPr>
                        <m:begChr m:val="("/>
                        <m:endChr m:val=")"/>
                        <m:sepChr m:val=""/>
                        <m:grow/>
                      </m:dPr>
                      <m:e>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t</m:t>
                            </m:r>
                          </m:sub>
                        </m:sSub>
                      </m:e>
                    </m:d>
                    <m:r>
                      <m:rPr>
                        <m:sty m:val="p"/>
                      </m:rPr>
                      <w:rPr>
                        <w:rFonts w:ascii="Times New Roman" w:hAnsi="Times New Roman" w:eastAsia="Times New Roman" w:cs="Times New Roman"/>
                        <w:highlight w:val="yellow"/>
                      </w:rPr>
                      <m:t>&lt;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num>
                  <m:den>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d</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sub>
                    </m:sSub>
                  </m:den>
                </m:f>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(13)</w:t>
            </w:r>
          </w:p>
        </w:tc>
      </w:tr>
    </w:tbl>
    <w:p>
      <w:pPr>
        <w:pStyle w:val="11"/>
        <w:jc w:val="left"/>
        <w:ind w:firstLine="420"/>
      </w:pPr>
      <w:r>
        <w:rPr>
          <w:rFonts w:ascii="Times New Roman" w:hAnsi="Times New Roman" w:eastAsia="Times New Roman" w:cs="Times New Roman"/>
          <w:sz w:val="20"/>
          <w:szCs w:val="20"/>
          <w:highlight w:val="yellow"/>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that controller sampling instant.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η</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refer only to its diagnostic rollout, whereas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aggregates controller samples across seeds and rollouts for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computed by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50 independent 500-sample rollouts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 (all</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tune-selected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58.06</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violating samples among 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the resulting GP-mean RoCBF-SF row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800/150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across the six mismatch conditions and consequently reproduces the upstream proposal’s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 violations. This outcome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w:t>
      </w:r>
      <w:r>
        <w:rPr>
          <w:rFonts w:ascii="Times New Roman" w:hAnsi="Times New Roman" w:eastAsia="Times New Roman" w:cs="Times New Roman"/>
          <w:sz w:val="20"/>
          <w:szCs w:val="20"/>
          <w:color w:val="000000"/>
          <w:b/>
          <w:bCs/>
          <w:i/>
          <w:iCs/>
          <w:highlight w:val="yellow"/>
        </w:rPr>
        <w:t xml:space="preserve">,</w:t>
      </w:r>
      <w:r>
        <w:rPr>
          <w:rFonts w:ascii="Times New Roman" w:hAnsi="Times New Roman" w:eastAsia="Times New Roman" w:cs="Times New Roman"/>
          <w:sz w:val="20"/>
          <w:szCs w:val="20"/>
          <w:color w:val="000000"/>
          <w:b/>
          <w:bCs/>
          <w:i/>
          <w:iCs/>
          <w:highlight w:val="yellow"/>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9798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 of 25</w:t>
            </w:r>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8" name="Picture"/>
            <ns3:graphic>
              <ns3:graphicData uri="http://schemas.openxmlformats.org/drawingml/2006/picture">
                <ns4:pic>
                  <ns4:nvPicPr>
                    <ns4:cNvPr descr="figures/Figure_6_process_response.png" id="49" name="Picture"/>
                    <ns4:cNvPicPr>
                      <ns3:picLocks noChangeArrowheads="1" noChangeAspect="1"/>
                    </ns4:cNvPicPr>
                  </ns4:nvPicPr>
                  <ns4:blipFill>
                    <ns3:blip ns5:embed="rId47"/>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pressure-bottleneck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 distinguishing accepted QP intervention, state-limit violation, and rejected-QP fallback.</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-0.59553</w:t>
      </w:r>
      <w:r>
        <w:rPr>
          <w:rFonts w:ascii="Times New Roman" w:hAnsi="Times New Roman" w:eastAsia="Times New Roman" w:cs="Times New Roman"/>
          <w:sz w:val="20"/>
          <w:szCs w:val="20"/>
          <w:highlight w:val="yellow"/>
        </w:rPr>
        <w:t xml:space="preserve"> MPa. The full implemented-margin endpoint rejects every QP candidate in this rollout and therefore follows the fallback proposal, producing essentially the same pressure excursion. The tune-selected mean-only setting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4.94</m:t>
        </m:r>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sup>
        </m:sSup>
      </m:oMath>
      <w:r>
        <w:rPr>
          <w:rFonts w:ascii="Times New Roman" w:hAnsi="Times New Roman" w:eastAsia="Times New Roman" w:cs="Times New Roman"/>
          <w:sz w:val="20"/>
          <w:szCs w:val="20"/>
          <w:highlight w:val="yellow"/>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1" name="Picture"/>
            <ns3:graphic>
              <ns3:graphicData uri="http://schemas.openxmlformats.org/drawingml/2006/picture">
                <ns4:pic>
                  <ns4:nvPicPr>
                    <ns4:cNvPr descr="figures/Figure_8_model_mismatch.png" id="52" name="Picture"/>
                    <ns4:cNvPicPr>
                      <ns3:picLocks noChangeArrowheads="1" noChangeAspect="1"/>
                    </ns4:cNvPicPr>
                  </ns4:nvPicPr>
                  <ns4:blipFill>
                    <ns3:blip ns5:embed="rId50"/>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 margins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12.262</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-1.050</w:t>
      </w:r>
      <w:r>
        <w:rPr>
          <w:rFonts w:ascii="Times New Roman" w:hAnsi="Times New Roman" w:eastAsia="Times New Roman" w:cs="Times New Roman"/>
          <w:sz w:val="20"/>
          <w:szCs w:val="20"/>
          <w:highlight w:val="yellow"/>
        </w:rPr>
        <w:t xml:space="preserve"> MPa/s for pressure and from</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-14.777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-14.000</w:t>
      </w:r>
      <w:r>
        <w:rPr>
          <w:rFonts w:ascii="Times New Roman" w:hAnsi="Times New Roman" w:eastAsia="Times New Roman" w:cs="Times New Roman"/>
          <w:sz w:val="20"/>
          <w:szCs w:val="20"/>
          <w:highlight w:val="yellow"/>
        </w:rPr>
        <w:t xml:space="preserve"> kJ kg</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s</w:t>
      </w:r>
      <m:oMath>
        <m:sSup>
          <m:e>
            <m:r>
              <w:rPr>
                <w:rFonts w:ascii="Times New Roman" w:hAnsi="Times New Roman" w:eastAsia="Times New Roman" w:cs="Times New Roman"/>
                <w:highlight w:val="yellow"/>
              </w:rPr>
              <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4" name="Picture"/>
            <ns3:graphic>
              <ns3:graphicData uri="http://schemas.openxmlformats.org/drawingml/2006/picture">
                <ns4:pic>
                  <ns4:nvPicPr>
                    <ns4:cNvPr descr="figures/Figure_2.png" id="55" name="Picture"/>
                    <ns4:cNvPicPr>
                      <ns3:picLocks noChangeArrowheads="1" noChangeAspect="1"/>
                    </ns4:cNvPicPr>
                  </ns4:nvPicPr>
                  <ns4:blipFill>
                    <ns3:blip ns5:embed="rId53"/>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 the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0.01, 0.02, and 0.05 each give 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no rejected QP; the predeclared smallest-passing rule therefore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no violation is observed but 13/15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QPs are rejected. Values of 0.2 and above fail the feasibility gate, and the full endpoint rejects all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tune-set QPs.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held-out seeds 3–4 give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and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58" name="Picture"/>
            <ns3:graphic>
              <ns3:graphicData uri="http://schemas.openxmlformats.org/drawingml/2006/picture">
                <ns4:pic>
                  <ns4:nvPicPr>
                    <ns4:cNvPr descr="figures/Figure_GP_data_sensitivity.png" id="59" name="Picture"/>
                    <ns4:cNvPicPr>
                      <ns3:picLocks noChangeArrowheads="1" noChangeAspect="1"/>
                    </ns4:cNvPicPr>
                  </ns4:nvPicPr>
                  <ns4:blipFill>
                    <ns3:blip ns5:embed="rId57"/>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3" name="Picture"/>
            <ns3:graphic>
              <ns3:graphicData uri="http://schemas.openxmlformats.org/drawingml/2006/picture">
                <ns4:pic>
                  <ns4:nvPicPr>
                    <ns4:cNvPr descr="figures/Figure_9_production_historian.png" id="64" name="Picture"/>
                    <ns4:cNvPicPr>
                      <ns3:picLocks noChangeArrowheads="1" noChangeAspect="1"/>
                    </ns4:cNvPicPr>
                  </ns4:nvPicPr>
                  <ns4:blipFill>
                    <ns3:blip ns5:embed="rId62"/>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66" name="Picture"/>
            <ns3:graphic>
              <ns3:graphicData uri="http://schemas.openxmlformats.org/drawingml/2006/picture">
                <ns4:pic>
                  <ns4:nvPicPr>
                    <ns4:cNvPr descr="figures/Figure_10_production_retrofit_evidence.png" id="67" name="Picture"/>
                    <ns4:cNvPicPr>
                      <ns3:picLocks noChangeArrowheads="1" noChangeAspect="1"/>
                    </ns4:cNvPicPr>
                  </ns4:nvPicPr>
                  <ns4:blipFill>
                    <ns3:blip ns5:embed="rId65"/>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69" name="Picture"/>
            <ns3:graphic>
              <ns3:graphicData uri="http://schemas.openxmlformats.org/drawingml/2006/picture">
                <ns4:pic>
                  <ns4:nvPicPr>
                    <ns4:cNvPr descr="figures/Figure_11_controller_log_validation.png" id="70" name="Picture"/>
                    <ns4:cNvPicPr>
                      <ns3:picLocks noChangeArrowheads="1" noChangeAspect="1"/>
                    </ns4:cNvPicPr>
                  </ns4:nvPicPr>
                  <ns4:blipFill>
                    <ns3:blip ns5:embed="rId68"/>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d>
          <m:dPr>
            <m:begChr m:val="["/>
            <m:endChr m:val="]"/>
            <m:sepChr m:val=""/>
            <m:grow/>
          </m:dPr>
          <m:e>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e>
        </m:d>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d>
          <m:dPr>
            <m:begChr m:val="["/>
            <m:endChr m:val="]"/>
            <m:sepChr m:val=""/>
            <m:grow/>
          </m:dPr>
          <m:e>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e>
        </m:d>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600"/>
        <w:gridCol w:w="1450"/>
        <w:gridCol w:w="900"/>
        <w:gridCol w:w="1050"/>
        <w:gridCol w:w="1050"/>
        <w:gridCol w:w="1000"/>
        <w:gridCol w:w="1550"/>
        <w:gridCol w:w="900"/>
      </w:tblGrid>
      <w:tr>
        <w:trPr>
          <w:tblHeader w:val="on"/>
          <w:cantSplit/>
        </w:trPr>
        <w:tc>
          <w:tcPr>
            <w:tcW w:w="6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9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10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5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QP/recovery status</w:t>
            </w:r>
          </w:p>
        </w:tc>
        <w:tc>
          <w:tcPr>
            <w:tcW w:w="9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rPr>
          <w:cantSplit/>
        </w:trPr>
        <w:tc>
          <w:tcPr>
            <w:tcW w:w="6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29 Jun 2026 19:00–20:59:55</w:t>
            </w:r>
          </w:p>
        </w:tc>
        <w:tc>
          <w:tcPr>
            <w:tcW w:w="9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10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10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10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5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1397 optimal; 43 recovered; 1 fuel-sat.</w:t>
            </w:r>
          </w:p>
        </w:tc>
        <w:tc>
          <w:tcPr>
            <w:tcW w:w="9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rPr>
          <w:cantSplit/>
        </w:trPr>
        <w:tc>
          <w:tcPr>
            <w:tcW w:w="6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30 Jun 2026 14:00–15:59:55</w:t>
            </w:r>
          </w:p>
        </w:tc>
        <w:tc>
          <w:tcPr>
            <w:tcW w:w="9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10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10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10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5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rPr>
          <w:cantSplit/>
        </w:trPr>
        <w:tc>
          <w:tcPr>
            <w:tcW w:w="6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26 Jun 2026 23:00–00:59:55</w:t>
            </w:r>
          </w:p>
        </w:tc>
        <w:tc>
          <w:tcPr>
            <w:tcW w:w="9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10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10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10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5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1440 optimal; none</w:t>
            </w:r>
          </w:p>
        </w:tc>
        <w:tc>
          <w:tcPr>
            <w:tcW w:w="9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Aligned records for</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reconstructed actuator command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u</m:t>
                  </m:r>
                </m:e>
                <m:sub>
                  <m:r>
                    <w:rPr>
                      <w:rFonts w:ascii="Times New Roman" w:hAnsi="Times New Roman" w:eastAsia="Times New Roman" w:cs="Times New Roman"/>
                      <w:highlight w:val="yellow"/>
                    </w:rPr>
                    <m:t>k</m:t>
                  </m:r>
                </m:sub>
              </m:sSub>
            </m:oMath>
            <w:r>
              <w:rPr>
                <w:rFonts w:ascii="Times New Roman" w:hAnsi="Times New Roman" w:eastAsia="Times New Roman" w:cs="Times New Roman"/>
                <w:sz w:val="18"/>
                <w:szCs w:val="18"/>
                <w:highlight w:val="yellow"/>
              </w:rPr>
              <w:t xml:space="preserve">, QP status, active CBF rows,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d>
                <m:dPr>
                  <m:begChr m:val="("/>
                  <m:endChr m:val=")"/>
                  <m:sepChr m:val=""/>
                  <m:grow/>
                </m:dPr>
                <m:e>
                  <m:r>
                    <w:rPr>
                      <w:rFonts w:ascii="Times New Roman" w:hAnsi="Times New Roman" w:eastAsia="Times New Roman" w:cs="Times New Roman"/>
                      <w:highlight w:val="yellow"/>
                    </w:rPr>
                    <m:t>x</m:t>
                  </m:r>
                </m:e>
              </m:d>
            </m:oMath>
            <w:r>
              <w:rPr>
                <w:rFonts w:ascii="Times New Roman" w:hAnsi="Times New Roman" w:eastAsia="Times New Roman" w:cs="Times New Roman"/>
                <w:sz w:val="18"/>
                <w:szCs w:val="18"/>
                <w:highlight w:val="yellow"/>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seven-state, drift-only</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134/150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violating samples. The predeclared calibration rule selects the mean-only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this RoCBF-SF setting and the NMPC reference each record 0/175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observed violations in the primary sweep, and the fixed filter setting records 0/50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480"/>
      </w:pPr>
      <w:rPr>
        <w:rFonts w:ascii="Times New Roman" w:hAnsi="Times New Roman" w:eastAsia="Times New Roman" w:cs="Times New Roman"/>
      </w:rPr>
    </w:lvl>
    <w:lvl w:ilvl="1">
      <w:numFmt w:val="bullet"/>
      <w:lvlText w:val=" "/>
      <w:lvlJc w:val="left"/>
      <w:pPr>
        <w:ind w:left="1440" w:hanging="480"/>
      </w:pPr>
      <w:rPr>
        <w:rFonts w:ascii="Times New Roman" w:hAnsi="Times New Roman" w:eastAsia="Times New Roman" w:cs="Times New Roman"/>
      </w:rPr>
    </w:lvl>
    <w:lvl w:ilvl="2">
      <w:numFmt w:val="bullet"/>
      <w:lvlText w:val=" "/>
      <w:lvlJc w:val="left"/>
      <w:pPr>
        <w:ind w:left="2160" w:hanging="480"/>
      </w:pPr>
      <w:rPr>
        <w:rFonts w:ascii="Times New Roman" w:hAnsi="Times New Roman" w:eastAsia="Times New Roman" w:cs="Times New Roman"/>
      </w:rPr>
    </w:lvl>
    <w:lvl w:ilvl="3">
      <w:numFmt w:val="bullet"/>
      <w:lvlText w:val=" "/>
      <w:lvlJc w:val="left"/>
      <w:pPr>
        <w:ind w:left="2880" w:hanging="480"/>
      </w:pPr>
      <w:rPr>
        <w:rFonts w:ascii="Times New Roman" w:hAnsi="Times New Roman" w:eastAsia="Times New Roman" w:cs="Times New Roman"/>
      </w:rPr>
    </w:lvl>
    <w:lvl w:ilvl="4">
      <w:numFmt w:val="bullet"/>
      <w:lvlText w:val=" "/>
      <w:lvlJc w:val="left"/>
      <w:pPr>
        <w:ind w:left="3600" w:hanging="480"/>
      </w:pPr>
      <w:rPr>
        <w:rFonts w:ascii="Times New Roman" w:hAnsi="Times New Roman" w:eastAsia="Times New Roman" w:cs="Times New Roman"/>
      </w:rPr>
    </w:lvl>
    <w:lvl w:ilvl="5">
      <w:numFmt w:val="bullet"/>
      <w:lvlText w:val=" "/>
      <w:lvlJc w:val="left"/>
      <w:pPr>
        <w:ind w:left="4320" w:hanging="480"/>
      </w:pPr>
      <w:rPr>
        <w:rFonts w:ascii="Times New Roman" w:hAnsi="Times New Roman" w:eastAsia="Times New Roman" w:cs="Times New Roman"/>
      </w:rPr>
    </w:lvl>
    <w:lvl w:ilvl="6">
      <w:numFmt w:val="bullet"/>
      <w:lvlText w:val=" "/>
      <w:lvlJc w:val="left"/>
      <w:pPr>
        <w:ind w:left="5040" w:hanging="480"/>
      </w:pPr>
      <w:rPr>
        <w:rFonts w:ascii="Times New Roman" w:hAnsi="Times New Roman" w:eastAsia="Times New Roman" w:cs="Times New Roman"/>
      </w:rPr>
    </w:lvl>
    <w:lvl w:ilvl="7">
      <w:numFmt w:val="bullet"/>
      <w:lvlText w:val=" "/>
      <w:lvlJc w:val="left"/>
      <w:pPr>
        <w:ind w:left="5760" w:hanging="480"/>
      </w:pPr>
      <w:rPr>
        <w:rFonts w:ascii="Times New Roman" w:hAnsi="Times New Roman" w:eastAsia="Times New Roman" w:cs="Times New Roman"/>
      </w:rPr>
    </w:lvl>
    <w:lvl w:ilvl="8">
      <w:numFmt w:val="bullet"/>
      <w:lvlText w:val=" "/>
      <w:lvlJc w:val="left"/>
      <w:pPr>
        <w:ind w:left="6480" w:hanging="48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480"/>
      </w:pPr>
      <w:rPr>
        <w:rFonts w:ascii="Times New Roman" w:hAnsi="Times New Roman" w:eastAsia="Times New Roman" w:cs="Times New Roman"/>
      </w:rPr>
    </w:lvl>
    <w:lvl w:ilvl="1">
      <w:start w:val="1"/>
      <w:numFmt w:val="lowerLetter"/>
      <w:lvlText w:val="%2."/>
      <w:lvlJc w:val="left"/>
      <w:pPr>
        <w:ind w:left="1440" w:hanging="480"/>
      </w:pPr>
      <w:rPr>
        <w:rFonts w:ascii="Times New Roman" w:hAnsi="Times New Roman" w:eastAsia="Times New Roman" w:cs="Times New Roman"/>
      </w:rPr>
    </w:lvl>
    <w:lvl w:ilvl="2">
      <w:start w:val="1"/>
      <w:numFmt w:val="lowerRoman"/>
      <w:lvlText w:val="%3."/>
      <w:lvlJc w:val="left"/>
      <w:pPr>
        <w:ind w:left="2160" w:hanging="480"/>
      </w:pPr>
      <w:rPr>
        <w:rFonts w:ascii="Times New Roman" w:hAnsi="Times New Roman" w:eastAsia="Times New Roman" w:cs="Times New Roman"/>
      </w:rPr>
    </w:lvl>
    <w:lvl w:ilvl="3">
      <w:start w:val="1"/>
      <w:numFmt w:val="decimal"/>
      <w:lvlText w:val="%4."/>
      <w:lvlJc w:val="left"/>
      <w:pPr>
        <w:ind w:left="2880" w:hanging="480"/>
      </w:pPr>
      <w:rPr>
        <w:rFonts w:ascii="Times New Roman" w:hAnsi="Times New Roman" w:eastAsia="Times New Roman" w:cs="Times New Roman"/>
      </w:rPr>
    </w:lvl>
    <w:lvl w:ilvl="4">
      <w:start w:val="1"/>
      <w:numFmt w:val="lowerLetter"/>
      <w:lvlText w:val="%5."/>
      <w:lvlJc w:val="left"/>
      <w:pPr>
        <w:ind w:left="3600" w:hanging="480"/>
      </w:pPr>
      <w:rPr>
        <w:rFonts w:ascii="Times New Roman" w:hAnsi="Times New Roman" w:eastAsia="Times New Roman" w:cs="Times New Roman"/>
      </w:rPr>
    </w:lvl>
    <w:lvl w:ilvl="5">
      <w:start w:val="1"/>
      <w:numFmt w:val="lowerRoman"/>
      <w:lvlText w:val="%6."/>
      <w:lvlJc w:val="left"/>
      <w:pPr>
        <w:ind w:left="4320" w:hanging="480"/>
      </w:pPr>
      <w:rPr>
        <w:rFonts w:ascii="Times New Roman" w:hAnsi="Times New Roman" w:eastAsia="Times New Roman" w:cs="Times New Roman"/>
      </w:rPr>
    </w:lvl>
    <w:lvl w:ilvl="6">
      <w:start w:val="1"/>
      <w:numFmt w:val="decimal"/>
      <w:lvlText w:val="%7."/>
      <w:lvlJc w:val="left"/>
      <w:pPr>
        <w:ind w:left="5040" w:hanging="480"/>
      </w:pPr>
      <w:rPr>
        <w:rFonts w:ascii="Times New Roman" w:hAnsi="Times New Roman" w:eastAsia="Times New Roman" w:cs="Times New Roman"/>
      </w:rPr>
    </w:lvl>
    <w:lvl w:ilvl="7">
      <w:start w:val="1"/>
      <w:numFmt w:val="lowerLetter"/>
      <w:lvlText w:val="%8."/>
      <w:lvlJc w:val="left"/>
      <w:pPr>
        <w:ind w:left="5760" w:hanging="480"/>
      </w:pPr>
      <w:rPr>
        <w:rFonts w:ascii="Times New Roman" w:hAnsi="Times New Roman" w:eastAsia="Times New Roman" w:cs="Times New Roman"/>
      </w:rPr>
    </w:lvl>
    <w:lvl w:ilvl="8">
      <w:start w:val="1"/>
      <w:numFmt w:val="lowerRoman"/>
      <w:lvlText w:val="%9."/>
      <w:lvlJc w:val="left"/>
      <w:pPr>
        <w:ind w:left="6480" w:hanging="48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480"/>
      </w:pPr>
      <w:rPr>
        <w:rFonts w:ascii="Times New Roman" w:hAnsi="Times New Roman" w:eastAsia="Times New Roman" w:cs="Times New Roman"/>
      </w:rPr>
    </w:lvl>
    <w:lvl w:ilvl="1">
      <w:numFmt w:val="bullet"/>
      <w:lvlText w:val="–"/>
      <w:lvlJc w:val="left"/>
      <w:pPr>
        <w:ind w:left="1440" w:hanging="480"/>
      </w:pPr>
      <w:rPr>
        <w:rFonts w:ascii="Times New Roman" w:hAnsi="Times New Roman" w:eastAsia="Times New Roman" w:cs="Times New Roman"/>
      </w:rPr>
    </w:lvl>
    <w:lvl w:ilvl="2">
      <w:numFmt w:val="bullet"/>
      <w:lvlText w:val="•"/>
      <w:lvlJc w:val="left"/>
      <w:pPr>
        <w:ind w:left="2160" w:hanging="480"/>
      </w:pPr>
      <w:rPr>
        <w:rFonts w:ascii="Times New Roman" w:hAnsi="Times New Roman" w:eastAsia="Times New Roman" w:cs="Times New Roman"/>
      </w:rPr>
    </w:lvl>
    <w:lvl w:ilvl="3">
      <w:numFmt w:val="bullet"/>
      <w:lvlText w:val="–"/>
      <w:lvlJc w:val="left"/>
      <w:pPr>
        <w:ind w:left="2880" w:hanging="480"/>
      </w:pPr>
      <w:rPr>
        <w:rFonts w:ascii="Times New Roman" w:hAnsi="Times New Roman" w:eastAsia="Times New Roman" w:cs="Times New Roman"/>
      </w:rPr>
    </w:lvl>
    <w:lvl w:ilvl="4">
      <w:numFmt w:val="bullet"/>
      <w:lvlText w:val="•"/>
      <w:lvlJc w:val="left"/>
      <w:pPr>
        <w:ind w:left="3600" w:hanging="480"/>
      </w:pPr>
      <w:rPr>
        <w:rFonts w:ascii="Times New Roman" w:hAnsi="Times New Roman" w:eastAsia="Times New Roman" w:cs="Times New Roman"/>
      </w:rPr>
    </w:lvl>
    <w:lvl w:ilvl="5">
      <w:numFmt w:val="bullet"/>
      <w:lvlText w:val="–"/>
      <w:lvlJc w:val="left"/>
      <w:pPr>
        <w:ind w:left="4320" w:hanging="480"/>
      </w:pPr>
      <w:rPr>
        <w:rFonts w:ascii="Times New Roman" w:hAnsi="Times New Roman" w:eastAsia="Times New Roman" w:cs="Times New Roman"/>
      </w:rPr>
    </w:lvl>
    <w:lvl w:ilvl="6">
      <w:numFmt w:val="bullet"/>
      <w:lvlText w:val="•"/>
      <w:lvlJc w:val="left"/>
      <w:pPr>
        <w:ind w:left="5040" w:hanging="480"/>
      </w:pPr>
      <w:rPr>
        <w:rFonts w:ascii="Times New Roman" w:hAnsi="Times New Roman" w:eastAsia="Times New Roman" w:cs="Times New Roman"/>
      </w:rPr>
    </w:lvl>
    <w:lvl w:ilvl="7">
      <w:numFmt w:val="bullet"/>
      <w:lvlText w:val="–"/>
      <w:lvlJc w:val="left"/>
      <w:pPr>
        <w:ind w:left="5760" w:hanging="480"/>
      </w:pPr>
      <w:rPr>
        <w:rFonts w:ascii="Times New Roman" w:hAnsi="Times New Roman" w:eastAsia="Times New Roman" w:cs="Times New Roman"/>
      </w:rPr>
    </w:lvl>
    <w:lvl w:ilvl="8">
      <w:numFmt w:val="bullet"/>
      <w:lvlText w:val="•"/>
      <w:lvlJc w:val="left"/>
      <w:pPr>
        <w:ind w:left="6480" w:hanging="48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57" Target="media/rId57.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