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core.xml" ContentType="application/vnd.openxmlformats-package.core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33.png" ContentType="image/png"/>
  <ns0:Override PartName="/word/media/rId56.png" ContentType="image/png"/>
  <ns0:Override PartName="/word/media/rId76.png" ContentType="image/png"/>
  <ns0:Override PartName="/word/media/rId60.png" ContentType="image/png"/>
  <ns0:Override PartName="/word/media/rId48.png" ContentType="image/png"/>
  <ns0:Override PartName="/word/media/rId52.png" ContentType="image/png"/>
  <ns0:Override PartName="/word/media/rId82.png" ContentType="image/png"/>
  <ns0:Override PartName="/word/media/rId70.png" ContentType="image/png"/>
  <ns0:Override PartName="/word/media/rId65.png" ContentType="image/png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3" Type="http://schemas.openxmlformats.org/package/2006/relationships/metadata/core-properties" Target="docProps/core.xml" /></ns0: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jc w:val="center"/>
      </w:pP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Supplemental Material for "Commissioning-Calibrated GP-HOCBF Safety Filtering for Ultra-Supercritical Boiler-Turbine Control under Model Mismatch"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 xml:space="preserve">Supplemental Material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Citation numbers follow the numbering of the main article.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1 Native-Sample Safety and QP Diagnostics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All benchmark violation rates are evaluated at the native 1 s controller instants. A controller sample is counted once when any enforced pressure, separator-enthalpy, or power barrier satisfies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min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  <ns1:sSub>
          <ns1:e>
            <ns1:r>
              <w:rPr>
                <w:rFonts w:ascii="Times New Roman" w:hAnsi="Times New Roman" w:eastAsia="Times New Roman" w:cs="Times New Roman"/>
              </w:rPr>
              <ns1:t>h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k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&lt;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sSup>
          <ns1:e>
            <ns1:r>
              <w:rPr>
                <w:rFonts w:ascii="Times New Roman" w:hAnsi="Times New Roman" w:eastAsia="Times New Roman" w:cs="Times New Roman"/>
              </w:rPr>
              <ns1:t>10</ns1:t>
            </ns1:r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2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in raw barrier units. The tolerance excludes numerical boundary roundoff; the unrounded minimum barrier is retained separately. Episode-level event probabilities are not combined with these sample rates.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S1.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Count-level S3 diagnostics for the primary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Δ</ns1:t>
        </ns1:r>
        <ns1:r>
          <w:rPr>
            <w:rFonts w:ascii="Times New Roman" w:hAnsi="Times New Roman" w:eastAsia="Times New Roman" w:cs="Times New Roman"/>
          </w:rPr>
          <ns1:t>g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validation. Each row aggregates 50 independent 500-sample rollouts. A rejected QP is non-converged, non-finite, or has maximum normalized primal residual above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p>
          <ns1:e>
            <ns1:r>
              <w:rPr>
                <w:rFonts w:ascii="Times New Roman" w:hAnsi="Times New Roman" w:eastAsia="Times New Roman" w:cs="Times New Roman"/>
              </w:rPr>
              <ns1:t>10</ns1:t>
            </ns1:r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6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1. Count-level S3 diagnostics for the primary \Delta g=0 validation. Each row aggregates 50 independent 500-sample rollouts. A rejected QP is non-converged, non-finite, or has maximum normalized primal residual above 10^{-6}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3300"/>
        <w:gridCol w:w="1750"/>
        <w:gridCol w:w="1750"/>
        <w:gridCol w:w="1700"/>
      </w:tblGrid>
      <w:tr>
        <w:trPr>
          <w:tblHeader w:val="on"/>
          <w:cantSplit/>
        </w:trPr>
        <w:tc>
          <w:tcPr>
            <w:tcW w:w="33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Method</w:t>
            </w:r>
          </w:p>
        </w:tc>
        <w:tc>
          <w:tcPr>
            <w:tcW w:w="17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Violating samples</w:t>
            </w:r>
          </w:p>
        </w:tc>
        <w:tc>
          <w:tcPr>
            <w:tcW w:w="17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 rejected</w:t>
            </w:r>
          </w:p>
        </w:tc>
        <w:tc>
          <w:tcPr>
            <w:tcW w:w="17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 intervention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HOCBF, no GP</w:t>
            </w:r>
          </w:p>
        </w:tc>
        <w:tc>
          <w:tcPr>
            <w:tcW w:w="17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9798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RoCBF-SF tune-selected,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ϵ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κ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=</ns1:t>
              </ns1:r>
              <ns1:r>
                <w:rPr>
                  <w:rFonts w:ascii="Times New Roman" w:hAnsi="Times New Roman" w:eastAsia="Times New Roman" w:cs="Times New Roman"/>
                </w:rPr>
                <ns1:t>0</ns1:t>
              </ns1:r>
            </ns1:oMath>
          </w:p>
        </w:tc>
        <w:tc>
          <w:tcPr>
            <w:tcW w:w="17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41.32%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Full implemented-margin endpoint,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ϵ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κ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=</ns1:t>
              </ns1:r>
              <ns1:r>
                <w:rPr>
                  <w:rFonts w:ascii="Times New Roman" w:hAnsi="Times New Roman" w:eastAsia="Times New Roman" w:cs="Times New Roman"/>
                </w:rPr>
                <ns1:t>1</ns1:t>
              </ns1:r>
            </ns1:oMath>
          </w:p>
        </w:tc>
        <w:tc>
          <w:tcPr>
            <w:tcW w:w="17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9798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 of 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000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tune-selected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row has no rejected QP in S3. The full implemented-margin row rejects every S3 QP, reverts to the upstream proposal, and consequently reproduces the no-GP violation count. This endpoint does not satisfy the robust-QP-feasibility assumption of Theorem 1.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2 Robustness-Factor Tune/Test Separation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Tune seeds 0–2 each contain 10 episodes of 500 controller samples. Thus, each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setting contains 15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tune samples. The predeclared selector is the smallest setting for which both pooled and maximum-per-seed violation rates are below 1% and both pooled and maximum-per-seed QP-rejection rates are below 0.5%.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S2.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Tune-seed selection data. Rates are percentages of native controller samples. Wilson upper limits are descriptive Bernoulli-reference values; adjacent samples are serially correlated.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2. Tune-seed selection data. Rates are percentages of native controller samples. Wilson upper limits are descriptive Bernoulli-reference values; adjacent samples are serially correlated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850"/>
        <w:gridCol w:w="1650"/>
        <w:gridCol w:w="1300"/>
        <w:gridCol w:w="1800"/>
        <w:gridCol w:w="1400"/>
        <w:gridCol w:w="1500"/>
      </w:tblGrid>
      <w:tr>
        <w:trPr>
          <w:tblHeader w:val="on"/>
          <w:cantSplit/>
        </w:trPr>
        <w:tc>
          <w:tcPr>
            <w:tcW w:w="8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ϵ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κ</ns1:t>
                  </ns1:r>
                </ns1:sub>
              </ns1:sSub>
            </ns1:oMath>
          </w:p>
        </w:tc>
        <w:tc>
          <w:tcPr>
            <w:tcW w:w="16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Violation count (rate)</w:t>
            </w:r>
          </w:p>
        </w:tc>
        <w:tc>
          <w:tcPr>
            <w:tcW w:w="13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Max. seed violation</w:t>
            </w:r>
          </w:p>
        </w:tc>
        <w:tc>
          <w:tcPr>
            <w:tcW w:w="18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 rejection count (rate)</w:t>
            </w:r>
          </w:p>
        </w:tc>
        <w:tc>
          <w:tcPr>
            <w:tcW w:w="14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Max. seed rejection</w:t>
            </w:r>
          </w:p>
        </w:tc>
        <w:tc>
          <w:tcPr>
            <w:tcW w:w="15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0.01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0.02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0.05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0.10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 (0.000)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13 (0.087)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0.120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0.20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4849 (32.327)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37.540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11220 (74.800)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87.660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0.50</w:t>
            </w:r>
          </w:p>
        </w:tc>
        <w:tc>
          <w:tcPr>
            <w:tcW w:w="1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5663 (37.753)</w:t>
            </w:r>
          </w:p>
        </w:tc>
        <w:tc>
          <w:tcPr>
            <w:tcW w:w="1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40.140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14972 (99.813)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99.880</w:t>
            </w:r>
          </w:p>
        </w:tc>
        <w:tc>
          <w:tcPr>
            <w:tcW w:w="1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w="8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1.00</w:t>
            </w:r>
          </w:p>
        </w:tc>
        <w:tc>
          <w:tcPr>
            <w:tcW w:w="16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5648 (37.653)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40.000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15000 (100.000)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100.000</w:t>
            </w:r>
          </w:p>
        </w:tc>
        <w:tc>
          <w:tcPr>
            <w:tcW w:w="15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No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selector fixes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before evaluating seeds 3–4. Each held-out seed contains 25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samples. Both seeds record zero violating samples and zero rejected QPs, giving pooled counts of 0/50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for both diagnostics. The descriptive 95% Wilson upper reference for 0/15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tune-set violations is 0.0256%; serial correlation prevents interpreting this value as an independent-trial confidence bound. No holdout result is used to change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and zero observed events are not presented as zero event probability.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3 GP Residual Definition and Commissioning Data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benchmark and deployed GP use the same three-dimensional kernel input,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sSubSup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k</ns1:t>
                    </ns1:r>
                  </ns1:sub>
                  <ns1:sup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G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</ns1:sup>
                </ns1:sSub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=</ns1:t>
                </ns1:r>
                <ns1:sSup>
                  <ns1:e>
                    <ns1:d>
                      <ns1:dPr>
                        <ns1:begChr ns1:val="["/>
                        <ns1:endChr ns1:val="]"/>
                        <ns1:sepChr ns1:val=""/>
                        <ns1:grow/>
                      </ns1:dPr>
                      <ns1:e>
                        <ns1:sSub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p</ns1:t>
                            </ns1:r>
                          </ns1:e>
                          <ns1:sub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m</ns1:t>
                            </ns1:r>
                            <ns1:r>
                              <ns1:rPr>
                                <ns1:sty ns1:val="p"/>
                              </ns1:rPr>
                              <w:rPr>
                                <w:rFonts w:ascii="Times New Roman" w:hAnsi="Times New Roman" w:eastAsia="Times New Roman" w:cs="Times New Roman"/>
                              </w:rPr>
                              <ns1:t>,</ns1:t>
                            </ns1:r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k</ns1:t>
                            </ns1:r>
                          </ns1:sub>
                        </ns1:sSub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,</ns1:t>
                        </ns1:r>
                        <ns1:sSub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h</ns1:t>
                            </ns1:r>
                          </ns1:e>
                          <ns1:sub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m</ns1:t>
                            </ns1:r>
                            <ns1:r>
                              <ns1:rPr>
                                <ns1:sty ns1:val="p"/>
                              </ns1:rPr>
                              <w:rPr>
                                <w:rFonts w:ascii="Times New Roman" w:hAnsi="Times New Roman" w:eastAsia="Times New Roman" w:cs="Times New Roman"/>
                              </w:rPr>
                              <ns1:t>,</ns1:t>
                            </ns1:r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k</ns1:t>
                            </ns1:r>
                          </ns1:sub>
                        </ns1:sSub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,</ns1:t>
                        </ns1:r>
                        <ns1:sSub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N</ns1:t>
                            </ns1:r>
                          </ns1:e>
                          <ns1:sub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e</ns1:t>
                            </ns1:r>
                            <ns1:r>
                              <ns1:rPr>
                                <ns1:sty ns1:val="p"/>
                              </ns1:rPr>
                              <w:rPr>
                                <w:rFonts w:ascii="Times New Roman" w:hAnsi="Times New Roman" w:eastAsia="Times New Roman" w:cs="Times New Roman"/>
                              </w:rPr>
                              <ns1:t>,</ns1:t>
                            </ns1:r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k</ns1:t>
                            </ns1:r>
                          </ns1:sub>
                        </ns1:sSub>
                      </ns1:e>
                    </ns1:d>
                  </ns1:e>
                  <ns1:sup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⊤</ns1:t>
                    </ns1:r>
                  </ns1:sup>
                </ns1:s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.</ns1:t>
                </ns1:r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(S1)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nominal predictor uses the complete seven-state vector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p>
          <ns1:e>
            <ns1:d>
              <ns1:dPr>
                <ns1:begChr ns1:val="["/>
                <ns1:endChr ns1:val="]"/>
                <ns1:sepChr ns1:val=""/>
                <ns1:grow/>
              </ns1:dPr>
              <ns1:e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r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B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m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h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m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N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e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τ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f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D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f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w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u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t</ns1:t>
                    </ns1:r>
                  </ns1:sub>
                </ns1:sSub>
              </ns1:e>
            </ns1:d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⊤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and all three proposed control commands. The three learning targets are residual rates,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sSubSup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y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j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,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k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+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1</ns1:t>
                    </ns1:r>
                  </ns1:sub>
                  <ns1:sup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G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</ns1:sup>
                </ns1:sSub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=</ns1:t>
                </ns1:r>
                <ns1:f>
                  <ns1:fPr>
                    <ns1:type ns1:val="bar"/>
                  </ns1:fPr>
                  <ns1:num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x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j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,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k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+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</ns1:sub>
                    </ns1:sSub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−</ns1:t>
                    </ns1:r>
                    <ns1:sSubSup>
                      <ns1:e>
                        <ns1:acc>
                          <ns1:accPr>
                            <ns1:chr ns1:val="̂"/>
                          </ns1:accPr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x</ns1:t>
                            </ns1:r>
                          </ns1:e>
                        </ns1:acc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j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,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k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+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|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k</ns1:t>
                        </ns1:r>
                      </ns1:sub>
                      <ns1:sup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n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o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m</ns1:t>
                        </ns1:r>
                      </ns1:sup>
                    </ns1:sSubSup>
                  </ns1:num>
                  <ns1:den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T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s</ns1:t>
                        </ns1:r>
                      </ns1:sub>
                    </ns1:sSub>
                  </ns1:den>
                </ns1:f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  </ns1:t>
                </ns1:r>
                <ns1:r>
                  <w:rPr>
                    <w:rFonts w:ascii="Times New Roman" w:hAnsi="Times New Roman" w:eastAsia="Times New Roman" w:cs="Times New Roman"/>
                  </w:rPr>
                  <ns1:t>j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∈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{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m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h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m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N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e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}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.</ns1:t>
                </ns1:r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(S2)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Kernel distances use the frozen training transform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("/>
            <ns1:endChr ns1:val=")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sSubSup>
              <ns1:e>
                <ns1:r>
                  <w:rPr>
                    <w:rFonts w:ascii="Times New Roman" w:hAnsi="Times New Roman" w:eastAsia="Times New Roman" w:cs="Times New Roman"/>
                  </w:rPr>
                  <ns1:t>μ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  <ns1: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t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r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a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n</ns1:t>
                </ns1:r>
              </ns1:sup>
            </ns1:sSub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/</ns1:t>
        </ns1:r>
        <ns1:sSubSup>
          <ns1:e>
            <ns1:r>
              <w:rPr>
                <w:rFonts w:ascii="Times New Roman" w:hAnsi="Times New Roman" w:eastAsia="Times New Roman" w:cs="Times New Roman"/>
              </w:rPr>
              <ns1:t>s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r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i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n</ns1:t>
            </ns1:r>
          </ns1:sup>
        </ns1:sSub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and each residual target is standardized by its training mean and standard deviation. The transforms are not updated online.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plant commissioning record contains approximately 14 days of 1 Hz historian and commissioning data (about 1.21 million state transitions). Stops, manual operation, communication faults, stale measurements, interlock action, missing values, and identified bad points are removed, leaving approximately 250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candidate transitions. Days 1–10 form the training candidate pool; day 11 is a 24 h isolation gap; and days 12–14 form the independent validation pool. Normalization parameters and kernel hyperparameters use only days 1–10.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S3.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Fixed plant-GP load strata and quotas. Candidates are separated by at least 60 s and selected by deterministic farthest-point coverage in standardized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("/>
            <ns1:endChr ns1:val=")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p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m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h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m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N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e</ns1:t>
                </ns1:r>
              </ns1:sub>
            </ns1:sSub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space. Quotas are not borrowed between strata.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3. Fixed plant-GP load strata and quotas. Candidates are separated by at least 60 s and selected by deterministic farthest-point coverage in standardized (p_m,h_m,N_e) space. Quotas are not borrowed between strata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3100"/>
        <w:gridCol w:w="2700"/>
        <w:gridCol w:w="2700"/>
      </w:tblGrid>
      <w:tr>
        <w:trPr>
          <w:tblHeader w:val="on"/>
          <w:cantSplit/>
        </w:trPr>
        <w:tc>
          <w:tcPr>
            <w:tcW w:w="31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Generator-load stratum (MW)</w:t>
            </w:r>
          </w:p>
        </w:tc>
        <w:tc>
          <w:tcPr>
            <w:tcW w:w="27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Training points</w:t>
            </w:r>
          </w:p>
        </w:tc>
        <w:tc>
          <w:tcPr>
            <w:tcW w:w="27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Validation points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180–264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264–363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363–462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462–561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561–660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40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Total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500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200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Three independent exact Matérn-5/2 GPs are trained and frozen after offline replay. The deployed dictionary remains 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N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500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; online sample growth is zero. Models are reviewed quarterly and after major maintenance or a material coal-source change. The current and previous stable versions are retained for rollback. Exact-GP storage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  <ns1:scr ns1:val="script"/>
          </ns1:rPr>
          <w:rPr>
            <w:rFonts w:ascii="Times New Roman" w:hAnsi="Times New Roman" w:eastAsia="Times New Roman" w:cs="Times New Roman"/>
          </w:rPr>
          <ns1:t>O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q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N</ns1:t>
                </ns1:r>
              </ns1:e>
              <ns1:sup>
                <ns1:r>
                  <w:rPr>
                    <w:rFonts w:ascii="Times New Roman" w:hAnsi="Times New Roman" w:eastAsia="Times New Roman" w:cs="Times New Roman"/>
                  </w:rPr>
                  <ns1:t>2</ns1:t>
                </ns1:r>
              </ns1:sup>
            </ns1:sSup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and offline retraining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  <ns1:scr ns1:val="script"/>
          </ns1:rPr>
          <w:rPr>
            <w:rFonts w:ascii="Times New Roman" w:hAnsi="Times New Roman" w:eastAsia="Times New Roman" w:cs="Times New Roman"/>
          </w:rPr>
          <ns1:t>O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q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N</ns1:t>
                </ns1:r>
              </ns1:e>
              <ns1:sup>
                <ns1:r>
                  <w:rPr>
                    <w:rFonts w:ascii="Times New Roman" w:hAnsi="Times New Roman" w:eastAsia="Times New Roman" w:cs="Times New Roman"/>
                  </w:rPr>
                  <ns1:t>3</ns1:t>
                </ns1:r>
              </ns1:sup>
            </ns1:sSup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q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3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outputs. Three float32 Cholesky factors occupy approximately 3 MB; training arrays, coefficients, and kernel parameters occupy approximately 10–20 MB. The deployed JAX process has a larger runtime resident set (approximately 0.5–2 GB), but this does not grow with online operation because the dictionary is frozen.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controlled sensitivity experiment uses five independent seeds. Each of the nine dictionary-size–corruption settings therefore comprises five seeded fit-and-evaluation runs (45 runs in total). Each run fits three scalar-output GPs, one for each component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["/>
            <ns1:endChr ns1:val="]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p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m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h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m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N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e</ns1:t>
                </ns1:r>
              </ns1:sub>
            </ns1:sSub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giving 135 scalar GP fits. It then evaluates 200 held-out transitions and one 500-sample S3 closed-loop rollout. Corruption replaces 5% or 10% of selected training targets by signed three-training-standard-deviation offsets; it does not represent a measured plant bad-point rate.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S4.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GP quantity/quality sensitivity. NRMSE and interval coverage are averaged over outputs and seeds. Closed-loop columns aggregate 2500 native controller samples per cell.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4. GP quantity/quality sensitivity. NRMSE and interval coverage are averaged over outputs and seeds. Closed-loop columns aggregate 2500 native controller samples per cell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650"/>
        <w:gridCol w:w="1100"/>
        <w:gridCol w:w="1100"/>
        <w:gridCol w:w="1250"/>
        <w:gridCol w:w="1550"/>
        <w:gridCol w:w="1450"/>
        <w:gridCol w:w="1400"/>
      </w:tblGrid>
      <w:tr>
        <w:trPr>
          <w:tblHeader w:val="on"/>
          <w:cantSplit/>
        </w:trPr>
        <w:tc>
          <w:tcPr>
            <w:tcW w:w="6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ns1:oMath>
              <ns1:r>
                <w:rPr>
                  <w:rFonts w:ascii="Times New Roman" w:hAnsi="Times New Roman" w:eastAsia="Times New Roman" w:cs="Times New Roman"/>
                </w:rPr>
                <ns1:t>N</ns1:t>
              </ns1:r>
            </ns1:oMath>
          </w:p>
        </w:tc>
        <w:tc>
          <w:tcPr>
            <w:tcW w:w="11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Target corruption</w:t>
            </w:r>
          </w:p>
        </w:tc>
        <w:tc>
          <w:tcPr>
            <w:tcW w:w="11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Held-out NRMSE</w:t>
            </w:r>
          </w:p>
        </w:tc>
        <w:tc>
          <w:tcPr>
            <w:tcW w:w="12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95% interval coverage</w:t>
            </w:r>
          </w:p>
        </w:tc>
        <w:tc>
          <w:tcPr>
            <w:tcW w:w="15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Violation,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ϵ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κ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=</ns1:t>
              </ns1:r>
              <ns1:r>
                <w:rPr>
                  <w:rFonts w:ascii="Times New Roman" w:hAnsi="Times New Roman" w:eastAsia="Times New Roman" w:cs="Times New Roman"/>
                </w:rPr>
                <ns1:t>0</ns1:t>
              </ns1:r>
            </ns1:oMath>
          </w:p>
        </w:tc>
        <w:tc>
          <w:tcPr>
            <w:tcW w:w="14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 rejection,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ϵ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κ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=</ns1:t>
              </ns1:r>
              <ns1:r>
                <w:rPr>
                  <w:rFonts w:ascii="Times New Roman" w:hAnsi="Times New Roman" w:eastAsia="Times New Roman" w:cs="Times New Roman"/>
                </w:rPr>
                <ns1:t>0</ns1:t>
              </ns1:r>
            </ns1:oMath>
          </w:p>
        </w:tc>
        <w:tc>
          <w:tcPr>
            <w:tcW w:w="14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 intervention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0.00090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100.00%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41.80%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250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0.00055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100.00%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41.76%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500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0.00046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100.00%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41.76%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0.54291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96.03%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20.24%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6.76%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24.00%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250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0.41965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97.13%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5.76%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4.04%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37.12%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500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0.06085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99.90%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41.92%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0.66568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96.37%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15.12%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8.60%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27.16%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250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10%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0.44662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97.03%</w:t>
            </w:r>
          </w:p>
        </w:tc>
        <w:tc>
          <w:tcPr>
            <w:tcW w:w="15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13.16%</w:t>
            </w:r>
          </w:p>
        </w:tc>
        <w:tc>
          <w:tcPr>
            <w:tcW w:w="14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5.88%</w:t>
            </w:r>
          </w:p>
        </w:tc>
        <w:tc>
          <w:tcPr>
            <w:tcW w:w="1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33.20%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500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10%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0.08745</w:t>
            </w:r>
          </w:p>
        </w:tc>
        <w:tc>
          <w:tcPr>
            <w:tcW w:w="12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99.80%</w:t>
            </w:r>
          </w:p>
        </w:tc>
        <w:tc>
          <w:tcPr>
            <w:tcW w:w="15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0.00%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41.32%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corrupted fits are deliberately evaluated without the pre-enable data-quality gate. The 100- and 250-point dictionaries show increased violations and QP rejection, while the 500-point dictionary retains zero observed violations and no rejection under both bounded fault-injection levels. The comparison therefore tests the joint effects of dictionary coverage and target quality; it does not imply that every corrupted fit fails or that the 500-point model is robust to arbitrary bad data. In deployment, held-out residual, coverage, and QP-feasibility checks are all required before a model receives write authority.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4 Coverage Monitoring and Fallback State Machine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online input-coverage statistic and standardized innovation are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m>
                  <ns1:mPr>
                    <ns1:baseJc ns1:val="center"/>
                    <ns1:plcHide ns1:val="on"/>
                    <ns1:mcs>
                      <ns1:mc>
                        <ns1:mcPr>
                          <ns1:mcJc ns1:val="right"/>
                          <ns1:count ns1:val="1"/>
                        </ns1:mcPr>
                      </ns1:mc>
                      <ns1:mc>
                        <ns1:mcPr>
                          <ns1:mcJc ns1:val="left"/>
                          <ns1:count ns1:val="1"/>
                        </ns1:mcPr>
                      </ns1:mc>
                    </ns1:mcs>
                  </ns1:mPr>
                  <ns1:mr>
                    <ns1:e>
                      <ns1:sSub>
                        <ns1:e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z</ns1:t>
                          </ns1:r>
                        </ns1:e>
                        <ns1:sub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i</ns1:t>
                          </ns1:r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,</ns1:t>
                          </ns1:r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k</ns1:t>
                          </ns1:r>
                        </ns1:sub>
                      </ns1:sSub>
                    </ns1:e>
                    <ns1:e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=</ns1:t>
                      </ns1:r>
                      <ns1:f>
                        <ns1:fPr>
                          <ns1:type ns1:val="bar"/>
                        </ns1:fPr>
                        <ns1:num>
                          <ns1:sSubSup>
                            <ns1:e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x</ns1:t>
                              </ns1:r>
                            </ns1:e>
                            <ns1:sub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i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,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k</ns1:t>
                              </ns1:r>
                            </ns1:sub>
                            <ns1:sup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G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P</ns1:t>
                              </ns1:r>
                            </ns1:sup>
                          </ns1:sSubSup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−</ns1:t>
                          </ns1:r>
                          <ns1:sSubSup>
                            <ns1:e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μ</ns1:t>
                              </ns1:r>
                            </ns1:e>
                            <ns1:sub>
                              <ns1:sSub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x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i</ns1:t>
                                  </ns1:r>
                                </ns1:sub>
                              </ns1:sSub>
                            </ns1:sub>
                            <ns1:sup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t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r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a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i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n</ns1:t>
                              </ns1:r>
                            </ns1:sup>
                          </ns1:sSubSup>
                        </ns1:num>
                        <ns1:den>
                          <ns1:sSubSup>
                            <ns1:e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s</ns1:t>
                              </ns1:r>
                            </ns1:e>
                            <ns1:sub>
                              <ns1:sSub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x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i</ns1:t>
                                  </ns1:r>
                                </ns1:sub>
                              </ns1:sSub>
                            </ns1:sub>
                            <ns1:sup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t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r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a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i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n</ns1:t>
                              </ns1:r>
                            </ns1:sup>
                          </ns1:sSubSup>
                        </ns1:den>
                      </ns1:f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,</ns1:t>
                      </ns1:r>
                    </ns1:e>
                  </ns1:mr>
                  <ns1:mr>
                    <ns1:e>
                      <ns1:sSub>
                        <ns1:e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e</ns1:t>
                          </ns1:r>
                        </ns1:e>
                        <ns1:sub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j</ns1:t>
                          </ns1:r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,</ns1:t>
                          </ns1:r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k</ns1:t>
                          </ns1:r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+</ns1:t>
                          </ns1:r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1</ns1:t>
                          </ns1:r>
                        </ns1:sub>
                      </ns1:sSub>
                    </ns1:e>
                    <ns1:e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=</ns1:t>
                      </ns1:r>
                      <ns1:f>
                        <ns1:fPr>
                          <ns1:type ns1:val="bar"/>
                        </ns1:fPr>
                        <ns1:num>
                          <ns1:d>
                            <ns1:dPr>
                              <ns1:begChr ns1:val="|"/>
                              <ns1:endChr ns1:val="|"/>
                              <ns1:sepChr ns1:val=""/>
                              <ns1:grow/>
                            </ns1:dPr>
                            <ns1:e>
                              <ns1:sSub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r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j</ns1:t>
                                  </ns1:r>
                                  <ns1:r>
                                    <ns1:rPr>
                                      <ns1:sty ns1:val="p"/>
                                    </ns1:rP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,</ns1:t>
                                  </ns1:r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k</ns1:t>
                                  </ns1:r>
                                  <ns1:r>
                                    <ns1:rPr>
                                      <ns1:sty ns1:val="p"/>
                                    </ns1:rP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+</ns1:t>
                                  </ns1:r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1</ns1:t>
                                  </ns1:r>
                                </ns1:sub>
                              </ns1:sSub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−</ns1:t>
                              </ns1:r>
                              <ns1:sSub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μ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j</ns1:t>
                                  </ns1:r>
                                </ns1:sub>
                              </ns1:sSub>
                              <ns1:d>
                                <ns1:dPr>
                                  <ns1:begChr ns1:val="("/>
                                  <ns1:endChr ns1:val=")"/>
                                  <ns1:sepChr ns1:val=""/>
                                  <ns1:grow/>
                                </ns1:dPr>
                                <ns1:e>
                                  <ns1:sSubSup>
                                    <ns1:e>
                                      <ns1: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x</ns1:t>
                                      </ns1:r>
                                    </ns1:e>
                                    <ns1:sub>
                                      <ns1: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k</ns1:t>
                                      </ns1:r>
                                    </ns1:sub>
                                    <ns1:sup>
                                      <ns1:r>
                                        <ns1:rPr>
                                          <ns1:sty ns1:val="p"/>
                                        </ns1:rP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G</ns1:t>
                                      </ns1:r>
                                      <ns1:r>
                                        <ns1:rPr>
                                          <ns1:sty ns1:val="p"/>
                                        </ns1:rP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P</ns1:t>
                                      </ns1:r>
                                    </ns1:sup>
                                  </ns1:sSubSup>
                                </ns1:e>
                              </ns1:d>
                            </ns1:e>
                          </ns1:d>
                        </ns1:num>
                        <ns1:den>
                          <ns1:rad>
                            <ns1:radPr>
                              <ns1:degHide ns1:val="on"/>
                            </ns1:radPr>
                            <ns1:deg/>
                            <ns1:e>
                              <ns1:sSubSup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σ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j</ns1:t>
                                  </ns1:r>
                                </ns1:sub>
                                <ns1:sup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2</ns1:t>
                                  </ns1:r>
                                </ns1:sup>
                              </ns1:sSubSup>
                              <ns1:d>
                                <ns1:dPr>
                                  <ns1:begChr ns1:val="("/>
                                  <ns1:endChr ns1:val=")"/>
                                  <ns1:sepChr ns1:val=""/>
                                  <ns1:grow/>
                                </ns1:dPr>
                                <ns1:e>
                                  <ns1:sSubSup>
                                    <ns1:e>
                                      <ns1: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x</ns1:t>
                                      </ns1:r>
                                    </ns1:e>
                                    <ns1:sub>
                                      <ns1: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k</ns1:t>
                                      </ns1:r>
                                    </ns1:sub>
                                    <ns1:sup>
                                      <ns1:r>
                                        <ns1:rPr>
                                          <ns1:sty ns1:val="p"/>
                                        </ns1:rP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G</ns1:t>
                                      </ns1:r>
                                      <ns1:r>
                                        <ns1:rPr>
                                          <ns1:sty ns1:val="p"/>
                                        </ns1:rPr>
                                        <w:rPr>
                                          <w:rFonts w:ascii="Times New Roman" w:hAnsi="Times New Roman" w:eastAsia="Times New Roman" w:cs="Times New Roman"/>
                                        </w:rPr>
                                        <ns1:t>P</ns1:t>
                                      </ns1:r>
                                    </ns1:sup>
                                  </ns1:sSubSup>
                                </ns1:e>
                              </ns1:d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+</ns1:t>
                              </ns1:r>
                              <ns1:sSubSup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σ</ns1:t>
                                  </ns1:r>
                                </ns1:e>
                                <ns1:sub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n</ns1:t>
                                  </ns1:r>
                                  <ns1:r>
                                    <ns1:rPr>
                                      <ns1:sty ns1:val="p"/>
                                    </ns1:rP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,</ns1:t>
                                  </ns1:r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j</ns1:t>
                                  </ns1:r>
                                </ns1:sub>
                                <ns1:sup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2</ns1:t>
                                  </ns1:r>
                                </ns1:sup>
                              </ns1:sSubSup>
                            </ns1:e>
                          </ns1:rad>
                        </ns1:den>
                      </ns1:f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,</ns1:t>
                      </ns1:r>
                      <ns1:r>
                        <w:rPr>
                          <w:rFonts w:ascii="Times New Roman" w:hAnsi="Times New Roman" w:eastAsia="Times New Roman" w:cs="Times New Roman"/>
                        </w:rPr>
                        <ns1:t> </ns1:t>
                      </ns1:r>
                      <ns1:sSub>
                        <ns1:e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r</ns1:t>
                          </ns1:r>
                        </ns1:e>
                        <ns1:sub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j</ns1:t>
                          </ns1:r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,</ns1:t>
                          </ns1:r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k</ns1:t>
                          </ns1:r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+</ns1:t>
                          </ns1:r>
                          <ns1:r>
                            <w:rPr>
                              <w:rFonts w:ascii="Times New Roman" w:hAnsi="Times New Roman" w:eastAsia="Times New Roman" w:cs="Times New Roman"/>
                            </w:rPr>
                            <ns1:t>1</ns1:t>
                          </ns1:r>
                        </ns1:sub>
                      </ns1:sSub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=</ns1:t>
                      </ns1:r>
                      <ns1:f>
                        <ns1:fPr>
                          <ns1:type ns1:val="bar"/>
                        </ns1:fPr>
                        <ns1:num>
                          <ns1:sSub>
                            <ns1:e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x</ns1:t>
                              </ns1:r>
                            </ns1:e>
                            <ns1:sub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j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,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k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+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1</ns1:t>
                              </ns1:r>
                            </ns1:sub>
                          </ns1:sSub>
                          <ns1:r>
                            <ns1:rPr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−</ns1:t>
                          </ns1:r>
                          <ns1:sSubSup>
                            <ns1:e>
                              <ns1:acc>
                                <ns1:accPr>
                                  <ns1:chr ns1:val="̂"/>
                                </ns1:accPr>
                                <ns1:e>
                                  <ns1:r>
                                    <w:rPr>
                                      <w:rFonts w:ascii="Times New Roman" w:hAnsi="Times New Roman" w:eastAsia="Times New Roman" w:cs="Times New Roman"/>
                                    </w:rPr>
                                    <ns1:t>x</ns1:t>
                                  </ns1:r>
                                </ns1:e>
                              </ns1:acc>
                            </ns1:e>
                            <ns1:sub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j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,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k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+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1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|</ns1:t>
                              </ns1:r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k</ns1:t>
                              </ns1:r>
                            </ns1:sub>
                            <ns1:sup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n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o</ns1:t>
                              </ns1:r>
                              <ns1:r>
                                <ns1:rPr>
                                  <ns1:sty ns1:val="p"/>
                                </ns1:rPr>
                                <w:rPr>
                                  <w:rFonts w:ascii="Times New Roman" w:hAnsi="Times New Roman" w:eastAsia="Times New Roman" w:cs="Times New Roman"/>
                                </w:rPr>
                                <ns1:t>m</ns1:t>
                              </ns1:r>
                            </ns1:sup>
                          </ns1:sSubSup>
                        </ns1:num>
                        <ns1:den>
                          <ns1:sSub>
                            <ns1:e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T</ns1:t>
                              </ns1:r>
                            </ns1:e>
                            <ns1:sub>
                              <ns1:r>
                                <w:rPr>
                                  <w:rFonts w:ascii="Times New Roman" w:hAnsi="Times New Roman" w:eastAsia="Times New Roman" w:cs="Times New Roman"/>
                                </w:rPr>
                                <ns1:t>s</ns1:t>
                              </ns1:r>
                            </ns1:sub>
                          </ns1:sSub>
                        </ns1:den>
                      </ns1:f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.</ns1:t>
                      </ns1:r>
                    </ns1:e>
                  </ns1:mr>
                </ns1:m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(S3)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Here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r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k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+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μ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n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all have residual-rate units. Because the deployed sampling period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T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s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1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s, this notation correction does not change the reported numerical thresholds.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S5.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GP coverage and degradation thresholds used by the deployed supervisor.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5. GP coverage and degradation thresholds used by the deployed supervisor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1900"/>
        <w:gridCol w:w="2800"/>
        <w:gridCol w:w="3800"/>
      </w:tblGrid>
      <w:tr>
        <w:trPr>
          <w:tblHeader w:val="on"/>
          <w:cantSplit/>
        </w:trPr>
        <w:tc>
          <w:tcPr>
            <w:tcW w:w="19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Monitor</w:t>
            </w:r>
          </w:p>
        </w:tc>
        <w:tc>
          <w:tcPr>
            <w:tcW w:w="28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Trigger</w:t>
            </w:r>
          </w:p>
        </w:tc>
        <w:tc>
          <w:tcPr>
            <w:tcW w:w="38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Input coverage</w:t>
            </w:r>
          </w:p>
        </w:tc>
        <w:tc>
          <w:tcPr>
            <w:tcW w:w="2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Any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d>
                <ns1:dPr>
                  <ns1:begChr ns1:val="|"/>
                  <ns1:endChr ns1:val="|"/>
                  <ns1:sepChr ns1:val=""/>
                  <ns1:grow/>
                </ns1:dPr>
                <ns1:e>
                  <ns1:sSub>
                    <ns1:e>
                      <ns1:r>
                        <w:rPr>
                          <w:rFonts w:ascii="Times New Roman" w:hAnsi="Times New Roman" w:eastAsia="Times New Roman" w:cs="Times New Roman"/>
                        </w:rPr>
                        <ns1:t>z</ns1:t>
                      </ns1:r>
                    </ns1:e>
                    <ns1:sub>
                      <ns1:r>
                        <w:rPr>
                          <w:rFonts w:ascii="Times New Roman" w:hAnsi="Times New Roman" w:eastAsia="Times New Roman" w:cs="Times New Roman"/>
                        </w:rPr>
                        <ns1:t>i</ns1:t>
                      </ns1:r>
                    </ns1:sub>
                  </ns1:sSub>
                </ns1:e>
              </ns1:d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&gt;</ns1:t>
              </ns1:r>
              <ns1:r>
                <w:rPr>
                  <w:rFonts w:ascii="Times New Roman" w:hAnsi="Times New Roman" w:eastAsia="Times New Roman" w:cs="Times New Roman"/>
                </w:rPr>
                <ns1:t>3</ns1:t>
              </ns1:r>
            </ns1:oMath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or outside the training 0.5th–99.5th percentile</w:t>
            </w:r>
          </w:p>
        </w:tc>
        <w:tc>
          <w:tcPr>
            <w:tcW w:w="3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Enter full-row nominal-HOCBF mode.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Posterior uncertainty</w:t>
            </w:r>
          </w:p>
        </w:tc>
        <w:tc>
          <w:tcPr>
            <w:tcW w:w="2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Above the validation-set 99th percentile</w:t>
            </w:r>
          </w:p>
        </w:tc>
        <w:tc>
          <w:tcPr>
            <w:tcW w:w="3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Withdraw GP mean correction.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Standardized innovation</w:t>
            </w:r>
          </w:p>
        </w:tc>
        <w:tc>
          <w:tcPr>
            <w:tcW w:w="2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Any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e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j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&gt;</ns1:t>
              </ns1:r>
              <ns1:r>
                <w:rPr>
                  <w:rFonts w:ascii="Times New Roman" w:hAnsi="Times New Roman" w:eastAsia="Times New Roman" w:cs="Times New Roman"/>
                </w:rPr>
                <ns1:t>3</ns1:t>
              </ns1:r>
            </ns1:oMath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for three cycles</w:t>
            </w:r>
          </w:p>
        </w:tc>
        <w:tc>
          <w:tcPr>
            <w:tcW w:w="3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Withdraw GP mean correction and alarm.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Severe innovation</w:t>
            </w:r>
          </w:p>
        </w:tc>
        <w:tc>
          <w:tcPr>
            <w:tcW w:w="2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Any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ns1:oMath>
              <ns1:sSub>
                <ns1:e>
                  <ns1:r>
                    <w:rPr>
                      <w:rFonts w:ascii="Times New Roman" w:hAnsi="Times New Roman" w:eastAsia="Times New Roman" w:cs="Times New Roman"/>
                    </w:rPr>
                    <ns1:t>e</ns1:t>
                  </ns1:r>
                </ns1:e>
                <ns1:sub>
                  <ns1:r>
                    <w:rPr>
                      <w:rFonts w:ascii="Times New Roman" w:hAnsi="Times New Roman" w:eastAsia="Times New Roman" w:cs="Times New Roman"/>
                    </w:rPr>
                    <ns1:t>j</ns1:t>
                  </ns1:r>
                </ns1:sub>
              </ns1:sSub>
              <ns1:r>
                <ns1:rPr>
                  <ns1:sty ns1:val="p"/>
                </ns1:rPr>
                <w:rPr>
                  <w:rFonts w:ascii="Times New Roman" w:hAnsi="Times New Roman" w:eastAsia="Times New Roman" w:cs="Times New Roman"/>
                </w:rPr>
                <ns1:t>&gt;</ns1:t>
              </ns1:r>
              <ns1:r>
                <w:rPr>
                  <w:rFonts w:ascii="Times New Roman" w:hAnsi="Times New Roman" w:eastAsia="Times New Roman" w:cs="Times New Roman"/>
                </w:rPr>
                <ns1:t>5</ns1:t>
              </ns1:r>
            </ns1:oMath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once</w:t>
            </w:r>
          </w:p>
        </w:tc>
        <w:tc>
          <w:tcPr>
            <w:tcW w:w="3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Immediate live-DCS bypass.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Persistent OOD</w:t>
            </w:r>
          </w:p>
        </w:tc>
        <w:tc>
          <w:tcPr>
            <w:tcW w:w="2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More than 1% of cycles in one hour</w:t>
            </w:r>
          </w:p>
        </w:tc>
        <w:tc>
          <w:tcPr>
            <w:tcW w:w="3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Create an offline recalibration task.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Recovery</w:t>
            </w:r>
          </w:p>
        </w:tc>
        <w:tc>
          <w:tcPr>
            <w:tcW w:w="28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Ten consecutive cycles with valid input, innovation, and variance checks</w:t>
            </w:r>
          </w:p>
        </w:tc>
        <w:tc>
          <w:tcPr>
            <w:tcW w:w="38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Permit GP-mode recovery subject to controller authorization.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Moderate coverage loss follows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m>
                  <ns1:mPr>
                    <ns1:baseJc ns1:val="center"/>
                    <ns1:plcHide ns1:val="on"/>
                    <ns1:mcs>
                      <ns1:mc>
                        <ns1:mcPr>
                          <ns1:mcJc ns1:val="right"/>
                          <ns1:count ns1:val="1"/>
                        </ns1:mcPr>
                      </ns1:mc>
                      <ns1:mc>
                        <ns1:mcPr>
                          <ns1:mcJc ns1:val="left"/>
                          <ns1:count ns1:val="1"/>
                        </ns1:mcPr>
                      </ns1:mc>
                    </ns1:mcs>
                  </ns1:mPr>
                  <ns1:mr>
                    <ns1:e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GP-RoCBF-SF</ns1:t>
                      </ns1:r>
                    </ns1:e>
                    <ns1:e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→</ns1:t>
                      </ns1:r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nominal HOCBF</ns1:t>
                      </ns1:r>
                      <ns1:r>
                        <w:rPr>
                          <w:rFonts w:ascii="Times New Roman" w:hAnsi="Times New Roman" w:eastAsia="Times New Roman" w:cs="Times New Roman"/>
                        </w:rPr>
                        <ns1:t> </ns1:t>
                      </ns1:r>
                      <ns1:d>
                        <ns1:dPr>
                          <ns1:begChr ns1:val="("/>
                          <ns1:endChr ns1:val=")"/>
                          <ns1:sepChr ns1:val=""/>
                          <ns1:grow/>
                        </ns1:dPr>
                        <ns1:e>
                          <ns1:r>
                            <ns1:rPr>
                              <ns1:nor/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for at most 10 cycles</ns1:t>
                          </ns1:r>
                        </ns1:e>
                      </ns1:d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,</ns1:t>
                      </ns1:r>
                    </ns1:e>
                  </ns1:mr>
                  <ns1:mr>
                    <ns1:e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nominal HOCBF</ns1:t>
                      </ns1:r>
                    </ns1:e>
                    <ns1:e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→</ns1:t>
                      </ns1:r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GP-RoCBF-SF</ns1:t>
                      </ns1:r>
                      <ns1:r>
                        <w:rPr>
                          <w:rFonts w:ascii="Times New Roman" w:hAnsi="Times New Roman" w:eastAsia="Times New Roman" w:cs="Times New Roman"/>
                        </w:rPr>
                        <ns1:t> </ns1:t>
                      </ns1:r>
                      <ns1:d>
                        <ns1:dPr>
                          <ns1:begChr ns1:val="("/>
                          <ns1:endChr ns1:val=")"/>
                          <ns1:sepChr ns1:val=""/>
                          <ns1:grow/>
                        </ns1:dPr>
                        <ns1:e>
                          <ns1:r>
                            <ns1:rPr>
                              <ns1:nor/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after 10 healthy cycles</ns1:t>
                          </ns1:r>
                        </ns1:e>
                      </ns1:d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,</ns1:t>
                      </ns1:r>
                    </ns1:e>
                  </ns1:mr>
                  <ns1:mr>
                    <ns1:e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nominal HOCBF</ns1:t>
                      </ns1:r>
                    </ns1:e>
                    <ns1:e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→</ns1:t>
                      </ns1:r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BYPASS</ns1:t>
                      </ns1:r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→</ns1:t>
                      </ns1:r>
                      <ns1:r>
                        <ns1:rPr>
                          <ns1:nor/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live DCS</ns1:t>
                      </ns1:r>
                      <ns1:r>
                        <w:rPr>
                          <w:rFonts w:ascii="Times New Roman" w:hAnsi="Times New Roman" w:eastAsia="Times New Roman" w:cs="Times New Roman"/>
                        </w:rPr>
                        <ns1:t> </ns1:t>
                      </ns1:r>
                      <ns1:d>
                        <ns1:dPr>
                          <ns1:begChr ns1:val="("/>
                          <ns1:endChr ns1:val=")"/>
                          <ns1:sepChr ns1:val=""/>
                          <ns1:grow/>
                        </ns1:dPr>
                        <ns1:e>
                          <ns1:r>
                            <ns1:rPr>
                              <ns1:nor/>
                              <ns1:sty ns1:val="p"/>
                            </ns1:rPr>
                            <w:rPr>
                              <w:rFonts w:ascii="Times New Roman" w:hAnsi="Times New Roman" w:eastAsia="Times New Roman" w:cs="Times New Roman"/>
                            </w:rPr>
                            <ns1:t>otherwise</ns1:t>
                          </ns1:r>
                        </ns1:e>
                      </ns1:d>
                      <ns1:r>
                        <ns1:rPr>
                          <ns1:sty ns1:val="p"/>
                        </ns1:rPr>
                        <w:rPr>
                          <w:rFonts w:ascii="Times New Roman" w:hAnsi="Times New Roman" w:eastAsia="Times New Roman" w:cs="Times New Roman"/>
                        </w:rPr>
                        <ns1:t>.</ns1:t>
                      </ns1:r>
                    </ns1:e>
                  </ns1:mr>
                </ns1:m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(S4)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Invalid measurements or communication, non-finite/model-load faults, nominal-QP or actuator-constraint infeasibility, a direct physical-bound exceedance, pressure-low physical margin below 2.0 MPa, or a QP/task timeout bypasses the bounded degraded stage immediately. The nominal-HOCBF interval has no GP coverage claim.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An initially infeasible QP permits one reduced-QP retry only for the whitelisted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pressure_low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row. Let the physical command deviation be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d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u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S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u</ns1:t>
            </ns1:r>
          </ns1:sub>
        </ns1:sSub>
        <ns1:r>
          <w:rPr>
            <w:rFonts w:ascii="Times New Roman" w:hAnsi="Times New Roman" w:eastAsia="Times New Roman" w:cs="Times New Roman"/>
          </w:rPr>
          <ns1:t>v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with normalized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v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∈</ns1:t>
        </ns1:r>
        <ns1:sSup>
          <ns1:e>
            <ns1:d>
              <ns1:dPr>
                <ns1:begChr ns1:val="["/>
                <ns1:endChr ns1:val="]"/>
                <ns1:sepChr ns1:val=""/>
                <ns1:grow/>
              </ns1:dPr>
              <ns1:e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e>
          <ns1:sup>
            <ns1:r>
              <w:rPr>
                <w:rFonts w:ascii="Times New Roman" w:hAnsi="Times New Roman" w:eastAsia="Times New Roman" w:cs="Times New Roman"/>
              </w:rPr>
              <ns1:t>3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transformed row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acc>
              <ns1:accPr>
                <ns1:chr ns1:val="̃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G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sSub>
          <ns1:e>
            <ns1:r>
              <w:rPr>
                <w:rFonts w:ascii="Times New Roman" w:hAnsi="Times New Roman" w:eastAsia="Times New Roman" w:cs="Times New Roman"/>
              </w:rPr>
              <ns1:t>S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u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and authority measure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a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sSub>
          <ns1:e>
            <ns1:acc>
              <ns1:accPr>
                <ns1:chr ns1:val="̃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G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Row removal requires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=</ns1:t>
                </ns1:r>
                <ns1:r>
                  <ns1:rPr>
                    <ns1:nor/>
                    <ns1:sty ns1:val="p"/>
                    <ns1:scr ns1:val="monospace"/>
                  </ns1:rPr>
                  <w:rPr>
                    <w:rFonts w:ascii="Times New Roman" w:hAnsi="Times New Roman" w:eastAsia="Times New Roman" w:cs="Times New Roman"/>
                  </w:rPr>
                  <ns1:t>pressure_low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 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a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i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&lt;</ns1:t>
                </ns1:r>
                <ns1:r>
                  <w:rPr>
                    <w:rFonts w:ascii="Times New Roman" w:hAnsi="Times New Roman" w:eastAsia="Times New Roman" w:cs="Times New Roman"/>
                  </w:rPr>
                  <ns1:t>0.01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 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h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i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&lt;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sSup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10</ns1:t>
                    </ns1:r>
                  </ns1:e>
                  <ns1:sup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−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6</ns1:t>
                    </ns1:r>
                  </ns1:sup>
                </ns1:s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 </ns1:t>
                </ns1:r>
                <ns1:r>
                  <w:rPr>
                    <w:rFonts w:ascii="Times New Roman" w:hAnsi="Times New Roman" w:eastAsia="Times New Roman" w:cs="Times New Roman"/>
                  </w:rPr>
                  <ns1:t>P</ns1:t>
                </ns1:r>
                <ns1:r>
                  <w:rPr>
                    <w:rFonts w:ascii="Times New Roman" w:hAnsi="Times New Roman" w:eastAsia="Times New Roman" w:cs="Times New Roman"/>
                  </w:rPr>
                  <ns1:t>M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P</ns1:t>
                </ns1:r>
                <ns1:r>
                  <w:rPr>
                    <w:rFonts w:ascii="Times New Roman" w:hAnsi="Times New Roman" w:eastAsia="Times New Roman" w:cs="Times New Roman"/>
                  </w:rPr>
                  <ns1:t>L</ns1:t>
                </ns1:r>
                <ns1:r>
                  <w:rPr>
                    <w:rFonts w:ascii="Times New Roman" w:hAnsi="Times New Roman" w:eastAsia="Times New Roman" w:cs="Times New Roman"/>
                  </w:rPr>
                  <ns1:t>O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≥</ns1:t>
                </ns1:r>
                <ns1:r>
                  <w:rPr>
                    <w:rFonts w:ascii="Times New Roman" w:hAnsi="Times New Roman" w:eastAsia="Times New Roman" w:cs="Times New Roman"/>
                  </w:rPr>
                  <ns1:t>2.0</ns1:t>
                </ns1:r>
                <ns1:r>
                  <w:rPr>
                    <w:rFonts w:ascii="Times New Roman" w:hAnsi="Times New Roman" w:eastAsia="Times New Roman" w:cs="Times New Roman"/>
                  </w:rPr>
                  <ns1:t> 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M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P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a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(S5)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with valid measurements and no active protection or interlock. The authority norm is evaluated after actuator normalization but before unit-row scaling. No actuator box/rate row or second CBF row can be removed, and only one retry is permitted. A successful reduced QP is reported 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optimal_recovered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; it is outside the full-row certificate.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deployed task deadline is 1000 ms, equal to the controller period. The field QP timeout is 200 ms. A timeout, non-finite result, or failed retry returns the current live DCS command rather than the previous algorithm command. Three consecutive solve failures, communication loss beyond 3 s, a process restart, or a model-load fault latches bypass. Re-entry requires valid measurements, heartbeats, and dry-run QPs for ten cycles, DCS automatic mode, inactive protection/interlocks, operator reset acknowledgement, and the active Kubernetes lease. A 10 s linear blend is then used for bumpless transfer, provided the QP and DCS commands differ by no more than 2% of actuator range and both lie in the current feasible set.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Kubernetes uses a 3 s Lease renewed every 1 s. Only the lease holder may assert the local write permit; standby Pods connect to Modbus TCP read-only. The DCS remains the final write-permission owner and requires enable, automatic mode, no manual mode, valid echoed heartbeat with age no greater than 2 s, active lease ownership, and a fresh command sequence. Loss of any condition selects the live coordinated-control command.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5 Plant Historian and Controller-Export Evidence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public production-evidence index separates historian context from controller execution. MW01–MW03 are post-retrofit low-to-mid-load historian windows used only to position measured load and main-steam pressure in the operating-envelope figure; they do not supply controller-internal QP fields. MW04–MW06 are confirmed two-hour plant-controller exports covering 480.7–629.7 MW. Each contains 1440 records at 5 s export spacing from a controller executing at 1 s, giving 4320 exported records rather than 4320 controller cycles. These exports directly support the timestamps, operating mode, QP/recovery status, logged margins, saturation flags, and timing statistics reported below. GP lifecycle, Kubernetes lease ownership, heartbeat/sequence checks, and DCS write-permission rules are deployment-configuration specifications; the exports do not expose every internal handshake transition.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confirmed controller/historian mappings used in the revision 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N</ns1:t>
        </ns1:r>
        <ns1:r>
          <w:rPr>
            <w:rFonts w:ascii="Times New Roman" w:hAnsi="Times New Roman" w:eastAsia="Times New Roman" w:cs="Times New Roman"/>
          </w:rPr>
          <ns1:t>E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↔</ns1:t>
        </ns1:r>
        <ns1:r>
          <ns1:rPr>
            <ns1:nor/>
            <ns1:sty ns1:val="p"/>
            <ns1:scr ns1:val="monospace"/>
          </ns1:rPr>
          <w:rPr>
            <w:rFonts w:ascii="Times New Roman" w:hAnsi="Times New Roman" w:eastAsia="Times New Roman" w:cs="Times New Roman"/>
          </w:rPr>
          <ns1:t>20CQTP_MW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P</ns1:t>
        </ns1:r>
        <ns1:r>
          <w:rPr>
            <w:rFonts w:ascii="Times New Roman" w:hAnsi="Times New Roman" w:eastAsia="Times New Roman" w:cs="Times New Roman"/>
          </w:rPr>
          <ns1:t>M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↔</ns1:t>
        </ns1:r>
        <ns1:r>
          <ns1:rPr>
            <ns1:nor/>
            <ns1:sty ns1:val="p"/>
            <ns1:scr ns1:val="monospace"/>
          </ns1:rPr>
          <w:rPr>
            <w:rFonts w:ascii="Times New Roman" w:hAnsi="Times New Roman" w:eastAsia="Times New Roman" w:cs="Times New Roman"/>
          </w:rPr>
          <ns1:t>DCS2_20HAG10CP101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H</ns1:t>
        </ns1:r>
        <ns1:r>
          <w:rPr>
            <w:rFonts w:ascii="Times New Roman" w:hAnsi="Times New Roman" w:eastAsia="Times New Roman" w:cs="Times New Roman"/>
          </w:rPr>
          <ns1:t>M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↔</ns1:t>
        </ns1:r>
        <ns1:r>
          <ns1:rPr>
            <ns1:nor/>
            <ns1:sty ns1:val="p"/>
            <ns1:scr ns1:val="monospace"/>
          </ns1:rPr>
          <w:rPr>
            <w:rFonts w:ascii="Times New Roman" w:hAnsi="Times New Roman" w:eastAsia="Times New Roman" w:cs="Times New Roman"/>
          </w:rPr>
          <ns1:t>DCS2_SEPARATOUT_ENTH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The independent tag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DCS2_MAIN_PRESS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is main-steam pressure. The exported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PST_HI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value is a main-steam-pressure replay bound, not the separator-pressure upper limit.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cohort analysis uses 300 s historian records from 2024–2025 and 25 June–5 July 2026. Two-hour windows contain 24 consecutive records and advance every 30 min. All 24 load samples must lie in 195–700 MW; pressure, pressure setpoint, and fuel flow must be finite, pressure channels must lie in 5–35 MPa, and fuel flow must be positive. One-to-one matching without replacement minimizes a standardized sum of squared differences in mean load, 24-point load-profile RMSE, load range, and mean fuel/load ratio. The respective calipers are 10, 30, and 40 MW and 0.08. The complete derived pair table and hashes of the 24 monthly pre-retrofit query files and the post-retrofit query file are included in the reproducibility package.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S6.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Recomputed load-matched historian cohort. Windows overlap because they advance every 30 min; the post-day cluster-bootstrap intervals are therefore descriptive and are not randomized-treatment confidence intervals.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6. Recomputed load-matched historian cohort. Windows overlap because they advance every 30 min; the post-day cluster-bootstrap intervals are therefore descriptive and are not randomized-treatment confidence intervals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2500"/>
        <w:gridCol w:w="1800"/>
        <w:gridCol w:w="1800"/>
        <w:gridCol w:w="2400"/>
      </w:tblGrid>
      <w:tr>
        <w:trPr>
          <w:tblHeader w:val="on"/>
          <w:cantSplit/>
        </w:trPr>
        <w:tc>
          <w:tcPr>
            <w:tcW w:w="25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Quantity</w:t>
            </w:r>
          </w:p>
        </w:tc>
        <w:tc>
          <w:tcPr>
            <w:tcW w:w="18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Pre-retrofit</w:t>
            </w:r>
          </w:p>
        </w:tc>
        <w:tc>
          <w:tcPr>
            <w:tcW w:w="18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Post-retrofit</w:t>
            </w:r>
          </w:p>
        </w:tc>
        <w:tc>
          <w:tcPr>
            <w:tcW w:w="24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Difference or interval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Loaded candidate windows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14,675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517</w:t>
            </w:r>
          </w:p>
        </w:tc>
        <w:tc>
          <w:tcPr>
            <w:tcW w:w="2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512 one-to-one pairs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Unique calendar days in pairs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193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11</w:t>
            </w:r>
          </w:p>
        </w:tc>
        <w:tc>
          <w:tcPr>
            <w:tcW w:w="2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Pressure-residual standard deviation, median (MPa)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0.523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0.502</w:t>
            </w:r>
          </w:p>
        </w:tc>
        <w:tc>
          <w:tcPr>
            <w:tcW w:w="2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3.93% reduction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Absolute pressure-residual p95, median (MPa)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1.082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1.085</w:t>
            </w:r>
          </w:p>
        </w:tc>
        <w:tc>
          <w:tcPr>
            <w:tcW w:w="24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0.30% increase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Pair fraction with lower standard deviation</w:t>
            </w:r>
          </w:p>
        </w:tc>
        <w:tc>
          <w:tcPr>
            <w:tcW w:w="1800" w:type="dxa"/>
            <w:gridSpan w:val="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–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55.27%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Pair fraction with lower absolute-error p95</w:t>
            </w:r>
          </w:p>
        </w:tc>
        <w:tc>
          <w:tcPr>
            <w:tcW w:w="1800" w:type="dxa"/>
            <w:gridSpan w:val="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–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59.18%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Post-day cluster bootstrap, standard-deviation reduction</w:t>
            </w:r>
          </w:p>
        </w:tc>
        <w:tc>
          <w:tcPr>
            <w:tcW w:w="1800" w:type="dxa"/>
            <w:gridSpan w:val="2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10,000 resamples</w:t>
            </w:r>
          </w:p>
        </w:tc>
        <w:tc>
          <w:tcPr>
            <w:tcW w:w="18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95% interval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-13.0,14.7%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Post-day cluster bootstrap, p95 reduction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10,000 resamples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95% interval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-9.4,13.1%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Median pair-quality diagnostics are 1.32 MW mean-load difference, 15.37 MW load-profile RMSE, 5.24 MW load-range difference, and 0.0115 fuel/load difference. The broad cluster-bootstrap intervals show that the cohort supports operating-context consistency but not a precise population effect estimate. The native 5 s pair in the main article provides the higher-resolution response diagnostic; the controller exports separately establish online filter execution.</w:t>
      </w:r>
    </w:p>
    <w:p>
      <w:pPr>
        <w:jc w:val="left"/>
        <w:spacing w:before="80" w:after="120"/>
        <w:keepLines/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Table S7.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High-load controller-export evidence. Direct margins are minima over all 1440 records in each window.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“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None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”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in the status column denotes no reduced-QP recovery and no saturation flag.</w:t>
      </w:r>
    </w:p>
    <w:tbl>
      <w:tblPr>
        <w:tblStyle w:val="Table"/>
        <w:tblW w:type="dxa" w:w="8500"/>
        <w:tblLook w:firstRow="1" w:lastRow="0" w:firstColumn="0" w:lastColumn="0" w:noHBand="0" w:noVBand="0" w:val="0020"/>
        <w:tblCaption w:val="Table S7. High-load controller-export evidence. Direct margins are minima over all 1440 records in each window. “None” in the status column denotes no reduced-QP recovery and no saturation flag."/>
        <w:jc w:val="center"/>
        <w:tblLayout w:type="fixed"/>
        <w:tblCellMar>
          <w:left w:w="45" w:type="dxa"/>
          <w:right w:w="45" w:type="dxa"/>
        </w:tblCellMar>
        <w:tblBorders>
          <w:top w:val="single" w:sz="10" w:space="0" w:color="000000"/>
          <w:bottom w:val="single" w:sz="10" w:space="0" w:color="000000"/>
          <w:left w:val="nil"/>
          <w:right w:val="nil"/>
          <w:insideH w:val="nil"/>
          <w:insideV w:val="nil"/>
        </w:tblBorders>
      </w:tblPr>
      <w:tblGrid>
        <w:gridCol w:w="650"/>
        <w:gridCol w:w="1250"/>
        <w:gridCol w:w="1100"/>
        <w:gridCol w:w="1100"/>
        <w:gridCol w:w="1150"/>
        <w:gridCol w:w="1900"/>
        <w:gridCol w:w="1350"/>
      </w:tblGrid>
      <w:tr>
        <w:trPr>
          <w:tblHeader w:val="on"/>
          <w:cantSplit/>
        </w:trPr>
        <w:tc>
          <w:tcPr>
            <w:tcW w:w="6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Window</w:t>
            </w:r>
          </w:p>
        </w:tc>
        <w:tc>
          <w:tcPr>
            <w:tcW w:w="12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Load (MW)</w:t>
            </w:r>
          </w:p>
        </w:tc>
        <w:tc>
          <w:tcPr>
            <w:tcW w:w="11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Sep.-pressure low margin (MPa)</w:t>
            </w:r>
          </w:p>
        </w:tc>
        <w:tc>
          <w:tcPr>
            <w:tcW w:w="11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Main-pressure high margin (MPa)</w:t>
            </w:r>
          </w:p>
        </w:tc>
        <w:tc>
          <w:tcPr>
            <w:tcW w:w="11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Nearest enthalpy margin (kJ/kg)</w:t>
            </w:r>
          </w:p>
        </w:tc>
        <w:tc>
          <w:tcPr>
            <w:tcW w:w="190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QP/recovery record</w:t>
            </w:r>
          </w:p>
        </w:tc>
        <w:tc>
          <w:tcPr>
            <w:tcW w:w="1350" w:type="dxa"/>
            <w:tcBorders>
              <w:left w:val="nil"/>
              <w:right w:val="nil"/>
              <w:insideH w:val="nil"/>
              <w:insideV w:val="nil"/>
              <w:top w:val="single" w:sz="10" w:space="0" w:color="000000"/>
              <w:bottom w:val="single" w:sz="8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QP/task p95 (ms)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MW04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563.0–621.2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2.217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2.173</w:t>
            </w:r>
          </w:p>
        </w:tc>
        <w:tc>
          <w:tcPr>
            <w:tcW w:w="11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62.284</w:t>
            </w:r>
          </w:p>
        </w:tc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1397 optimal; 43 recovered; 1 fuel-sat.</w:t>
            </w:r>
          </w:p>
        </w:tc>
        <w:tc>
          <w:tcPr>
            <w:tcW w:w="13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4.195 / 26.238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MW05</w:t>
            </w:r>
          </w:p>
        </w:tc>
        <w:tc>
          <w:tcPr>
            <w:tcW w:w="12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547.9–629.7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3.438</w:t>
            </w:r>
          </w:p>
        </w:tc>
        <w:tc>
          <w:tcPr>
            <w:tcW w:w="11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1.483</w:t>
            </w:r>
          </w:p>
        </w:tc>
        <w:tc>
          <w:tcPr>
            <w:tcW w:w="11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20.354</w:t>
            </w:r>
          </w:p>
        </w:tc>
        <w:tc>
          <w:tcPr>
            <w:tcW w:w="19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1440 optimal; none</w:t>
            </w:r>
          </w:p>
        </w:tc>
        <w:tc>
          <w:tcPr>
            <w:tcW w:w="135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4.074 / 26.139</w:t>
            </w:r>
          </w:p>
        </w:tc>
      </w:tr>
      <w:tr>
        <w:trPr>
          <w:cantSplit/>
        </w:trPr>
        <w:tc>
          <w:tcPr>
            <w:tcW w:w="6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MW06</w:t>
            </w:r>
          </w:p>
        </w:tc>
        <w:tc>
          <w:tcPr>
            <w:tcW w:w="12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480.7–619.3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2.705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0.463</w:t>
            </w:r>
          </w:p>
        </w:tc>
        <w:tc>
          <w:tcPr>
            <w:tcW w:w="11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0.359</w:t>
            </w:r>
          </w:p>
        </w:tc>
        <w:tc>
          <w:tcPr>
            <w:tcW w:w="190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1440 optimal; none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  <w:insideH w:val="nil"/>
              <w:insideV w:val="nil"/>
              <w:bottom w:val="single" w:sz="10" w:space="0" w:color="000000"/>
            </w:tcBorders>
          </w:tcPr>
          <w:p>
            <w:pPr>
              <w:pStyle w:val="13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4.062 / 26.159</w:t>
            </w:r>
          </w:p>
        </w:tc>
      </w:tr>
    </w:tbl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All 43 MW04 recovery records have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FB_RSN=weak_authority_constraint_drop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ACT_CSTR=pressure_low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and negative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MG_PLO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. The diagnostic row ranges 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-0.03266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-0.00561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while the direct physical margin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P</ns1:t>
        </ns1:r>
        <ns1:r>
          <w:rPr>
            <w:rFonts w:ascii="Times New Roman" w:hAnsi="Times New Roman" w:eastAsia="Times New Roman" w:cs="Times New Roman"/>
          </w:rPr>
          <ns1:t>M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r>
          <w:rPr>
            <w:rFonts w:ascii="Times New Roman" w:hAnsi="Times New Roman" w:eastAsia="Times New Roman" w:cs="Times New Roman"/>
          </w:rPr>
          <ns1:t>P</ns1:t>
        </ns1:r>
        <ns1:r>
          <w:rPr>
            <w:rFonts w:ascii="Times New Roman" w:hAnsi="Times New Roman" w:eastAsia="Times New Roman" w:cs="Times New Roman"/>
          </w:rPr>
          <ns1:t>L</ns1:t>
        </ns1:r>
        <ns1:r>
          <w:rPr>
            <w:rFonts w:ascii="Times New Roman" w:hAnsi="Times New Roman" w:eastAsia="Times New Roman" w:cs="Times New Roman"/>
          </w:rPr>
          <ns1:t>O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ranges from 2.21654 to 2.36306 MPa and the other five exported HOCBF margins remain positive. MW05–MW06 contain no reduced-QP record. Across MW04–MW06, QP time has median/p95/maximum values 3.557/4.095/6.234 ms, and total task time has corresponding values 24.564/26.183/28.665 ms.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plant value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0.1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is fixed after training-block replay and passes the one-pass time-isolated validation gate without retuning; it is not copied from the benchmark S3 selection. Record-level plant replay remains a restricted enterprise asset and is not inferred from the high-load controller exports. The original PID gains, output limits, anti-windup, sliding-pressure curve, coordinated-control logic, and fuel/feedwater/turbine-valve base loops are unchanged; RoCBF-SF is added downstream with enable, bypass, heartbeat, command-quality, and DCS-selection logic. The outage also includes instrument calibration, actuator inspection, combustion-equipment maintenance, and heat-surface cleaning, so the historian before/after comparison is observational. The controller exports separately establish that the proposed filter executed after restart.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public reproducibility package contains source code, simulation results, derived historian metrics, bounded controller-export excerpts, field maps, and source/public hashes. Complete raw historian and original controller exports are enterprise assets. Qualified researchers may request restricted access from the corresponding author, subject to data-owner approval and the applicable data-use conditions.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6 Computation and Sampled-Data Boundary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NMPC reference uses a warm-started SLSQP solve with horizon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N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5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output weights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d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i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a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g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1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0.001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0.01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input weights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d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i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a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g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0.01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0.01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0.01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normalized deviation-input bounds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p>
          <ns1:e>
            <ns1:d>
              <ns1:dPr>
                <ns1:begChr ns1:val="["/>
                <ns1:endChr ns1:val="]"/>
                <ns1:sepChr ns1:val=""/>
                <ns1:grow/>
              </ns1:dPr>
              <ns1:e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e>
          <ns1:sup>
            <ns1:r>
              <w:rPr>
                <w:rFonts w:ascii="Times New Roman" w:hAnsi="Times New Roman" w:eastAsia="Times New Roman" w:cs="Times New Roman"/>
              </w:rPr>
              <ns1:t>3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six prediction constraints, additive disturbance correction with gain 0.5,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maxiter</w:t>
      </w:r>
      <w:r>
        <w:rPr>
          <w:rFonts w:ascii="Times New Roman" w:hAnsi="Times New Roman" w:eastAsia="Times New Roman" w:cs="Times New Roman"/>
          <w:sz w:val="20"/>
          <w:szCs w:val="20"/>
        </w:rPr>
        <w:t>=50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rStyle w:val="VerbatimChar"/>
          <w:sz w:val="20"/>
          <w:szCs w:val="20"/>
        </w:rPr>
        <w:t xml:space="preserve">ftol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p>
          <ns1:e>
            <ns1:r>
              <w:rPr>
                <w:rFonts w:ascii="Times New Roman" w:hAnsi="Times New Roman" w:eastAsia="Times New Roman" w:cs="Times New Roman"/>
              </w:rPr>
              <ns1:t>10</ns1:t>
            </ns1:r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4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Its convergence, residual, and computation-time statistics are regenerated with the actuator-augmented benchmark and reported from that frozen result set. These values describe the implemented reference rather than an optimized industrial MPC package.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Across the seven confirmatory conditions, pooled research-pipeline time per controller update ranges from 3.19 to 6.71 ms for the tune-selected RoCBF-SF row and from 3.75 to 20.82 ms for NMPC. NMPC records no solver failure and 0/175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000 observed state-limit violations in this implementation. These benchmark wall-clock measurements are distinct from the deployed-CPU evidence: the confirmed controller exports report a maximum QP time of 6.234 ms and a maximum total task time of 28.665 ms against the 1000 ms task deadline.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theorem is continuous-time. The controller applies zero-order hold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T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s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1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s because 1 s is the deployed coordinated-control task period; the safety filter therefore evaluates each upstream command update before the command-selection stage. This implementation choice does not assign a 1 s time constant to the slower boiler thermal dynamics. The field exports retain one record every 5 s, so their spacing is a logging interval rather than the internal control period. Field task timing establishes computational fit within the 1 s period but does not establish inter-sample forward invariance. Theorem 1 therefore is not presented as a sampled-data certificate; deriving such a certificate is retained as future work.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  <w:i/>
          <w:iCs/>
        </w:rPr>
        <w:t>7 Proofs of Theoretical Results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0"/>
          <w:szCs w:val="20"/>
          <w:color w:val="000000"/>
          <w:b/>
          <w:bCs/>
          <w:i/>
          <w:iCs/>
        </w:rPr>
        <w:t>7.1 Residual Cross-Term Bound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Lemma S1 (Residual cross-term bound).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Let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ψ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0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≡</ns1:t>
        </ns1:r>
        <ns1:r>
          <w:rPr>
            <w:rFonts w:ascii="Times New Roman" w:hAnsi="Times New Roman" w:eastAsia="Times New Roman" w:cs="Times New Roman"/>
          </w:rPr>
          <ns1:t>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On the simultaneous residual event in Assumption 2 of the main article, suppose a valid pointwise derivative bound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∇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x</ns1:t>
            </ns1:r>
          </ns1:sub>
        </ns1:sSub>
        <ns1:sSub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sSubSup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δ</ns1:t>
            </ns1:r>
          </ns1:sub>
          <ns1:sup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sup>
        </ns1:sSubSup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is available 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ns1:rPr>
                <ns1:sty ns1:val="p"/>
                <ns1:scr ns1:val="script"/>
              </ns1:rPr>
              <w:rPr>
                <w:rFonts w:ascii="Times New Roman" w:hAnsi="Times New Roman" w:eastAsia="Times New Roman" w:cs="Times New Roman"/>
              </w:rPr>
              <ns1:t>X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Then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d>
                  <ns1:dPr>
                    <ns1:begChr ns1:val="|"/>
                    <ns1:endChr ns1:val="|"/>
                    <ns1:sepChr ns1:val=""/>
                    <ns1:grow/>
                  </ns1:dPr>
                  <ns1:e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L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Δ</ns1:t>
                        </ns1:r>
                        <ns1:acc>
                          <ns1:accPr>
                            <ns1:chr ns1:val="̂"/>
                          </ns1:accPr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f</ns1:t>
                            </ns1:r>
                          </ns1:e>
                        </ns1:acc>
                      </ns1:sub>
                    </ns1:sSub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δ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i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−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</ns1:sub>
                    </ns1:sSub>
                    <ns1:d>
                      <ns1:dPr>
                        <ns1:begChr ns1:val="("/>
                        <ns1:endChr ns1:val=")"/>
                        <ns1:sepChr ns1:val=""/>
                        <ns1:grow/>
                      </ns1:dPr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x</ns1:t>
                        </ns1:r>
                      </ns1:e>
                    </ns1:d>
                  </ns1:e>
                </ns1:d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≤</ns1:t>
                </ns1:r>
                <ns1:sSubSup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G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δ</ns1:t>
                    </ns1:r>
                  </ns1:sub>
                  <ns1:sup>
                    <ns1:d>
                      <ns1:dPr>
                        <ns1:begChr ns1:val="("/>
                        <ns1:endChr ns1:val=")"/>
                        <ns1:sepChr ns1:val=""/>
                        <ns1:grow/>
                      </ns1:dPr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i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−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</ns1:e>
                    </ns1:d>
                  </ns1:sup>
                </ns1:sSubSup>
                <ns1:d>
                  <ns1:dPr>
                    <ns1:begChr ns1:val="("/>
                    <ns1:endChr ns1:val=")"/>
                    <ns1:sepChr ns1:val=""/>
                    <ns1:grow/>
                  </ns1:d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</ns1:d>
                <ns1:r>
                  <w:rPr>
                    <w:rFonts w:ascii="Times New Roman" w:hAnsi="Times New Roman" w:eastAsia="Times New Roman" w:cs="Times New Roman"/>
                  </w:rPr>
                  <ns1:t> </ns1:t>
                </ns1:r>
                <ns1:r>
                  <w:rPr>
                    <w:rFonts w:ascii="Times New Roman" w:hAnsi="Times New Roman" w:eastAsia="Times New Roman" w:cs="Times New Roman"/>
                  </w:rPr>
                  <ns1:t>β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∥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σ</ns1:t>
                    </ns1:r>
                  </ns1:e>
                  <ns1:sub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G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</ns1:sub>
                </ns1:sSub>
                <ns1:d>
                  <ns1:dPr>
                    <ns1:begChr ns1:val="("/>
                    <ns1:endChr ns1:val=")"/>
                    <ns1:sepChr ns1:val=""/>
                    <ns1:grow/>
                  </ns1:d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</ns1:d>
                <ns1:sSub>
                  <ns1:e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∥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2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.</ns1:t>
                </ns1:r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(S6)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Proof.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By Cauchy–Schwarz,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d>
                  <ns1:dPr>
                    <ns1:begChr ns1:val="|"/>
                    <ns1:endChr ns1:val="|"/>
                    <ns1:sepChr ns1:val=""/>
                    <ns1:grow/>
                  </ns1:dPr>
                  <ns1:e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L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Δ</ns1:t>
                        </ns1:r>
                        <ns1:acc>
                          <ns1:accPr>
                            <ns1:chr ns1:val="̂"/>
                          </ns1:accPr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f</ns1:t>
                            </ns1:r>
                          </ns1:e>
                        </ns1:acc>
                      </ns1:sub>
                    </ns1:sSub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δ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i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−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</ns1:sub>
                    </ns1:sSub>
                  </ns1:e>
                </ns1:d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=</ns1:t>
                </ns1:r>
                <ns1:d>
                  <ns1:dPr>
                    <ns1:begChr ns1:val="|"/>
                    <ns1:endChr ns1:val="|"/>
                    <ns1:sepChr ns1:val=""/>
                    <ns1:grow/>
                  </ns1:dPr>
                  <ns1:e>
                    <ns1:sSub>
                      <ns1:e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∇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x</ns1:t>
                        </ns1:r>
                      </ns1:sub>
                    </ns1:sSub>
                    <ns1:sSubSup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δ</ns1:t>
                        </ns1:r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i</ns1:t>
                        </ns1:r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−</ns1:t>
                        </ns1:r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1</ns1:t>
                        </ns1:r>
                      </ns1:sub>
                      <ns1:sup>
                        <ns1:r>
                          <ns1:rPr>
                            <ns1:sty ns1:val="p"/>
                          </ns1:rPr>
                          <w:rPr>
                            <w:rFonts w:ascii="Times New Roman" w:hAnsi="Times New Roman" w:eastAsia="Times New Roman" w:cs="Times New Roman"/>
                          </w:rPr>
                          <ns1:t>⊤</ns1:t>
                        </ns1:r>
                      </ns1:sup>
                    </ns1:sSubSup>
                    <ns1:r>
                      <w:rPr>
                        <w:rFonts w:ascii="Times New Roman" w:hAnsi="Times New Roman" w:eastAsia="Times New Roman" w:cs="Times New Roman"/>
                      </w:rPr>
                      <ns1:t>Δ</ns1:t>
                    </ns1:r>
                    <ns1:acc>
                      <ns1:accPr>
                        <ns1:chr ns1:val="̂"/>
                      </ns1:accPr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f</ns1:t>
                        </ns1:r>
                      </ns1:e>
                    </ns1:acc>
                  </ns1:e>
                </ns1:d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≤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∥</ns1:t>
                </ns1:r>
                <ns1:sSub>
                  <ns1:e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∇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sub>
                </ns1:sSub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δ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i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−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1</ns1:t>
                    </ns1:r>
                  </ns1:sub>
                </ns1:sSub>
                <ns1:sSub>
                  <ns1:e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∥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2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∥</ns1:t>
                </ns1:r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  <ns1:acc>
                  <ns1:accPr>
                    <ns1:chr ns1:val="̂"/>
                  </ns1:acc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f</ns1:t>
                    </ns1:r>
                  </ns1:e>
                </ns1:acc>
                <ns1:sSub>
                  <ns1:e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∥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2</ns1:t>
                    </ns1:r>
                  </ns1:sub>
                </ns1:s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.</ns1:t>
                </ns1:r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(S7)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simultaneous residual event gives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r>
          <w:rPr>
            <w:rFonts w:ascii="Times New Roman" w:hAnsi="Times New Roman" w:eastAsia="Times New Roman" w:cs="Times New Roman"/>
          </w:rPr>
          <ns1:t>Δ</ns1:t>
        </ns1:r>
        <ns1:acc>
          <ns1:accPr>
            <ns1:chr ns1:val="̂"/>
          </ns1:accPr>
          <ns1:e>
            <ns1:r>
              <w:rPr>
                <w:rFonts w:ascii="Times New Roman" w:hAnsi="Times New Roman" w:eastAsia="Times New Roman" w:cs="Times New Roman"/>
              </w:rPr>
              <ns1:t>f</ns1:t>
            </ns1:r>
          </ns1:e>
        </ns1:acc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r>
          <w:rPr>
            <w:rFonts w:ascii="Times New Roman" w:hAnsi="Times New Roman" w:eastAsia="Times New Roman" w:cs="Times New Roman"/>
          </w:rPr>
          <ns1:t>β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G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over the modeled outputs, which yields Eq. (S6). Smoothness on a compact operating set ensures that finite global derivative bounds exist when the required derivatives are bounded, but it does not identify them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∇</ns1:t>
        </ns1:r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◻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online code uses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∇</ns1:t>
        </ns1:r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as a commissioning proxy 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δ</ns1:t>
            </ns1:r>
          </ns1:sub>
          <ns1:sup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sup>
        </ns1:sSub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Theorem 1 applies to that implementation only when Assumption 3 of the main article independently verifies that the resulting total margin dominates the true top-level HOCBF residual 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ns1:rPr>
                <ns1:sty ns1:val="p"/>
                <ns1:scr ns1:val="script"/>
              </ns1:rPr>
              <w:rPr>
                <w:rFonts w:ascii="Times New Roman" w:hAnsi="Times New Roman" w:eastAsia="Times New Roman" w:cs="Times New Roman"/>
              </w:rPr>
              <ns1:t>X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0"/>
          <w:szCs w:val="20"/>
          <w:color w:val="000000"/>
          <w:b/>
          <w:bCs/>
          <w:i/>
          <w:iCs/>
        </w:rPr>
        <w:t>7.2 Full Proof of Theorem 1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Proof of Theorem 1.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Step 1 (Simultaneous residual event).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Assumption 2 of the main article states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f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j</ns1:t>
                </ns1:r>
              </ns1:sub>
            </ns1:sSub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</ns1:e>
            </ns1:d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μ</ns1:t>
                </ns1:r>
              </ns1:e>
              <ns1: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G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P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j</ns1:t>
                </ns1:r>
              </ns1:sub>
            </ns1:sSub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</ns1:e>
            </ns1:d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r>
          <w:rPr>
            <w:rFonts w:ascii="Times New Roman" w:hAnsi="Times New Roman" w:eastAsia="Times New Roman" w:cs="Times New Roman"/>
          </w:rPr>
          <ns1:t>β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G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holds simultaneously for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q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3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modeled residual outputs and all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x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∈</ns1:t>
        </ns1:r>
        <ns1:sSub>
          <ns1:e>
            <ns1:r>
              <ns1:rPr>
                <ns1:sty ns1:val="p"/>
                <ns1:scr ns1:val="script"/>
              </ns1:rPr>
              <w:rPr>
                <w:rFonts w:ascii="Times New Roman" w:hAnsi="Times New Roman" w:eastAsia="Times New Roman" w:cs="Times New Roman"/>
              </w:rPr>
              <ns1:t>X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with probability at least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1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r>
          <w:rPr>
            <w:rFonts w:ascii="Times New Roman" w:hAnsi="Times New Roman" w:eastAsia="Times New Roman" w:cs="Times New Roman"/>
          </w:rPr>
          <ns1:t>δ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Condition on this event. The commissioning multiplier used in the numerical studies does not establish this event by itself.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Step 2 (Compositional bound).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We show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</ns1:sSub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</ns1:e>
            </ns1:d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by induction 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i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p>
      <w:pPr>
        <w:numPr>
          <w:ilvl w:val="0"/>
          <w:numId w:val="1001"/>
        </w:numPr>
        <w:jc w:val="left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Base case (</w:t>
      </w:r>
      <ns1:oMath>
        <ns1:r>
          <w:rPr>
            <w:rFonts w:ascii="Times New Roman" w:hAnsi="Times New Roman" w:eastAsia="Times New Roman" w:cs="Times New Roman"/>
          </w:rPr>
          <ns1:t>i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1</ns1:t>
        </ns1:r>
      </ns1:oMath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nary>
          <ns1:naryPr>
            <ns1:chr ns1:val="∑"/>
            <ns1:limLoc ns1:val="undOvr"/>
            <ns1:subHide ns1:val="off"/>
            <ns1:supHide ns1:val="on"/>
          </ns1:naryPr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/>
            </ns1:r>
          </ns1:sup>
          <ns1:e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∂</ns1:t>
                </ns1:r>
                <ns1:r>
                  <w:rPr>
                    <w:rFonts w:ascii="Times New Roman" w:hAnsi="Times New Roman" w:eastAsia="Times New Roman" w:cs="Times New Roman"/>
                  </w:rPr>
                  <ns1:t>h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/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∂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j</ns1:t>
                    </ns1:r>
                  </ns1:sub>
                </ns1:sSub>
              </ns1:e>
            </ns1:d>
          </ns1:e>
        </ns1:nary>
        <ns1:r>
          <w:rPr>
            <w:rFonts w:ascii="Times New Roman" w:hAnsi="Times New Roman" w:eastAsia="Times New Roman" w:cs="Times New Roman"/>
          </w:rPr>
          <ns1:t>Δ</ns1:t>
        </ns1:r>
        <ns1:sSub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f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By Step 1 and triangle inequality,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r>
          <w:rPr>
            <w:rFonts w:ascii="Times New Roman" w:hAnsi="Times New Roman" w:eastAsia="Times New Roman" w:cs="Times New Roman"/>
          </w:rPr>
          <ns1:t>β</ns1:t>
        </ns1:r>
        <ns1:nary>
          <ns1:naryPr>
            <ns1:chr ns1:val="∑"/>
            <ns1:limLoc ns1:val="undOvr"/>
            <ns1:subHide ns1:val="off"/>
            <ns1:supHide ns1:val="on"/>
          </ns1:naryPr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/>
            </ns1:r>
          </ns1:sup>
          <ns1:e>
            <ns1:d>
              <ns1:dPr>
                <ns1:begChr ns1:val="|"/>
                <ns1:endChr ns1:val="|"/>
                <ns1:sepChr ns1:val=""/>
                <ns1:grow/>
              </ns1:dPr>
              <ns1:e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∂</ns1:t>
                </ns1:r>
                <ns1:r>
                  <w:rPr>
                    <w:rFonts w:ascii="Times New Roman" w:hAnsi="Times New Roman" w:eastAsia="Times New Roman" w:cs="Times New Roman"/>
                  </w:rPr>
                  <ns1:t>h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/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∂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j</ns1:t>
                    </ns1:r>
                  </ns1:sub>
                </ns1:sSub>
              </ns1:e>
            </ns1:d>
          </ns1:e>
        </ns1:nary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G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P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p>
      <w:pPr>
        <w:numPr>
          <w:ilvl w:val="0"/>
          <w:numId w:val="1001"/>
        </w:numPr>
        <w:jc w:val="left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Inductive step (</w:t>
      </w:r>
      <ns1:oMath>
        <ns1:r>
          <w:rPr>
            <w:rFonts w:ascii="Times New Roman" w:hAnsi="Times New Roman" w:eastAsia="Times New Roman" w:cs="Times New Roman"/>
          </w:rPr>
          <ns1:t>i</ns1:t>
        </ns1:r>
        <ns1:r>
          <ns1:rPr>
            <ns1:sty ns1:val="p"/>
          </ns1:rPr>
          <w:rPr>
            <w:rFonts w:ascii="Times New Roman" w:hAnsi="Times New Roman" w:eastAsia="Times New Roman" w:cs="Times New Roman"/>
          </w:rPr>
          <ns1:t>≥</ns1:t>
        </ns1:r>
        <ns1:r>
          <w:rPr>
            <w:rFonts w:ascii="Times New Roman" w:hAnsi="Times New Roman" w:eastAsia="Times New Roman" w:cs="Times New Roman"/>
          </w:rPr>
          <ns1:t>2</ns1:t>
        </ns1:r>
      </ns1:oMath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Assume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The residual recursion in the main article gives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L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  <ns1:acc>
                  <ns1:accPr>
                    <ns1:chr ns1:val="̂"/>
                  </ns1:acc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f</ns1:t>
                    </ns1:r>
                  </ns1:e>
                </ns1:acc>
              </ns1:sub>
            </ns1:sSub>
            <ns1:sSubSup>
              <ns1:e>
                <ns1:acc>
                  <ns1:accPr>
                    <ns1:chr ns1:val="̂"/>
                  </ns1:acc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ψ</ns1:t>
                    </ns1:r>
                  </ns1:e>
                </ns1:acc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sub>
              <ns1:sup>
                <ns1:r>
                  <w:rPr>
                    <w:rFonts w:ascii="Times New Roman" w:hAnsi="Times New Roman" w:eastAsia="Times New Roman" w:cs="Times New Roman"/>
                  </w:rPr>
                  <ns1:t>0</ns1:t>
                </ns1:r>
              </ns1:sup>
            </ns1:sSub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+</ns1:t>
        </ns1:r>
        <ns1:d>
          <ns1:dPr>
            <ns1:begChr ns1:val="("/>
            <ns1:endChr ns1:val=")"/>
            <ns1:sepChr ns1:val=""/>
            <ns1:grow/>
          </ns1:dPr>
          <ns1:e>
            <ns1:sSub>
              <ns1:e>
                <ns1:d>
                  <ns1:dPr>
                    <ns1:begChr ns1:val="|"/>
                    <ns1:endChr ns1:val="|"/>
                    <ns1:sepChr ns1:val=""/>
                    <ns1:grow/>
                  </ns1:dPr>
                  <ns1:e>
                    <ns1:sSub>
                      <ns1:e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L</ns1:t>
                        </ns1:r>
                      </ns1:e>
                      <ns1:sub>
                        <ns1:acc>
                          <ns1:accPr>
                            <ns1:chr ns1:val="̂"/>
                          </ns1:accPr>
                          <ns1:e>
                            <ns1:r>
                              <w:rPr>
                                <w:rFonts w:ascii="Times New Roman" w:hAnsi="Times New Roman" w:eastAsia="Times New Roman" w:cs="Times New Roman"/>
                              </w:rPr>
                              <ns1:t>f</ns1:t>
                            </ns1:r>
                          </ns1:e>
                        </ns1:acc>
                      </ns1:sub>
                    </ns1:sSub>
                  </ns1:e>
                </ns1:d>
              </ns1:e>
              <ns1:sub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o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p</ns1:t>
                </ns1:r>
              </ns1:sub>
            </ns1:s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+</ns1:t>
            </ns1:r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k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</ns1:sSub>
          </ns1:e>
        </ns1:d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+</ns1:t>
        </ns1:r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L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  <ns1:acc>
                  <ns1:accPr>
                    <ns1:chr ns1:val="̂"/>
                  </ns1:acc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f</ns1:t>
                    </ns1:r>
                  </ns1:e>
                </ns1:acc>
              </ns1:sub>
            </ns1:sSub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sub>
            </ns1:sSub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The first term is bounded as in the base case. The second term is bounded by the induction hypothesis. Lemma S1 bounds the third term when a valid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δ</ns1:t>
            </ns1:r>
          </ns1:sub>
          <ns1:sup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sup>
        </ns1:sSub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is available. Assumption 3 requires the operator-norm and cross-term quantities used for the certificate to dominate these terms. Summing gives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</ns1:sub>
            </ns1:sSub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i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implementation proxy is not substituted 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δ</ns1:t>
            </ns1:r>
          </ns1:sub>
          <ns1:sup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i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−</ns1:t>
                </ns1:r>
                <ns1:r>
                  <w:rPr>
                    <w:rFonts w:ascii="Times New Roman" w:hAnsi="Times New Roman" w:eastAsia="Times New Roman" w:cs="Times New Roman"/>
                  </w:rPr>
                  <ns1:t>1</ns1:t>
                </ns1:r>
              </ns1:e>
            </ns1:d>
          </ns1:sup>
        </ns1:sSub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in this proof unless Assumption 3 validates that substitution.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Step 3 (Total perturbation).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Combining the inductive bounds from Step 2 with the coupling-coefficient bound in Eq. (S8) yields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sub>
            </ns1:sSub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r>
                  <w:rPr>
                    <w:rFonts w:ascii="Times New Roman" w:hAnsi="Times New Roman" w:eastAsia="Times New Roman" w:cs="Times New Roman"/>
                  </w:rPr>
                  <ns1:t>v</ns1:t>
                </ns1:r>
              </ns1:e>
            </ns1:d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m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+</ns1:t>
        </ns1:r>
        <ns1:nary>
          <ns1:naryPr>
            <ns1:chr ns1:val="∑"/>
            <ns1:limLoc ns1:val="undOvr"/>
            <ns1:subHide ns1:val="off"/>
            <ns1:supHide ns1:val="off"/>
          </ns1:naryPr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=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m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−</ns1:t>
            </ns1:r>
            <ns1:r>
              <w:rPr>
                <w:rFonts w:ascii="Times New Roman" w:hAnsi="Times New Roman" w:eastAsia="Times New Roman" w:cs="Times New Roman"/>
              </w:rPr>
              <ns1:t>1</ns1:t>
            </ns1:r>
          </ns1:sup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c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j</ns1:t>
                </ns1:r>
              </ns1:sub>
            </ns1:sSub>
          </ns1:e>
        </ns1:nary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j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+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c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r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for every admissible deviation input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v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ϵ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κ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1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the applied margin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p>
      <w:pPr>
        <w:pStyle w:val="3"/>
        <w:jc w:val="left"/>
        <w:ind w:firstLine="42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Step 4 (Forward invariance).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p>
          <ns1:e>
            <ns1:r>
              <w:rPr>
                <w:rFonts w:ascii="Times New Roman" w:hAnsi="Times New Roman" w:eastAsia="Times New Roman" w:cs="Times New Roman"/>
              </w:rPr>
              <ns1:t>v</ns1:t>
            </ns1:r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*</ns1:t>
            </ns1:r>
          </ns1:sup>
        </ns1:sSup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satisfying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A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sSup>
          <ns1:e>
            <ns1:r>
              <w:rPr>
                <w:rFonts w:ascii="Times New Roman" w:hAnsi="Times New Roman" w:eastAsia="Times New Roman" w:cs="Times New Roman"/>
              </w:rPr>
              <ns1:t>v</ns1:t>
            </ns1:r>
          </ns1:e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*</ns1:t>
            </ns1:r>
          </ns1:sup>
        </ns1:sSup>
        <ns1:r>
          <ns1:rPr>
            <ns1:sty ns1:val="p"/>
          </ns1:rPr>
          <w:rPr>
            <w:rFonts w:ascii="Times New Roman" w:hAnsi="Times New Roman" w:eastAsia="Times New Roman" w:cs="Times New Roman"/>
          </w:rPr>
          <ns1:t>≤</ns1:t>
        </ns1:r>
        <ns1:r>
          <w:rPr>
            <w:rFonts w:ascii="Times New Roman" w:hAnsi="Times New Roman" w:eastAsia="Times New Roman" w:cs="Times New Roman"/>
          </w:rPr>
          <ns1:t>b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the definition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m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r>
              <w:rPr>
                <w:rFonts w:ascii="Times New Roman" w:hAnsi="Times New Roman" w:eastAsia="Times New Roman" w:cs="Times New Roman"/>
              </w:rPr>
              <ns1:t>v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>
          <w:rPr>
            <w:rFonts w:ascii="Times New Roman" w:hAnsi="Times New Roman" w:eastAsia="Times New Roman" w:cs="Times New Roman"/>
          </w:rPr>
          <ns1:t>b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r>
          <w:rPr>
            <w:rFonts w:ascii="Times New Roman" w:hAnsi="Times New Roman" w:eastAsia="Times New Roman" w:cs="Times New Roman"/>
          </w:rPr>
          <ns1:t>A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w:rPr>
            <w:rFonts w:ascii="Times New Roman" w:hAnsi="Times New Roman" w:eastAsia="Times New Roman" w:cs="Times New Roman"/>
          </w:rPr>
          <ns1:t>v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gives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m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v</ns1:t>
                </ns1:r>
              </ns1:e>
              <ns1: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*</ns1:t>
                </ns1:r>
              </ns1:sup>
            </ns1:s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≥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Hence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Sup>
          <ns1:e>
            <ns1:r>
              <w:rPr>
                <w:rFonts w:ascii="Times New Roman" w:hAnsi="Times New Roman" w:eastAsia="Times New Roman" w:cs="Times New Roman"/>
              </w:rPr>
              <ns1:t>ψ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m</ns1:t>
            </ns1:r>
          </ns1:sub>
          <ns1:sup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r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u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e</ns1:t>
            </ns1:r>
          </ns1:sup>
        </ns1:sSubSup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v</ns1:t>
                </ns1:r>
              </ns1:e>
              <ns1: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*</ns1:t>
                </ns1:r>
              </ns1:sup>
            </ns1:s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Sup>
          <ns1:e>
            <ns1:acc>
              <ns1:accPr>
                <ns1:chr ns1:val="̂"/>
              </ns1:accPr>
              <ns1:e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e>
            </ns1:acc>
          </ns1:e>
          <ns1:sub>
            <ns1:r>
              <w:rPr>
                <w:rFonts w:ascii="Times New Roman" w:hAnsi="Times New Roman" w:eastAsia="Times New Roman" w:cs="Times New Roman"/>
              </w:rPr>
              <ns1:t>m</ns1:t>
            </ns1:r>
          </ns1:sub>
          <ns1:sup>
            <ns1:r>
              <w:rPr>
                <w:rFonts w:ascii="Times New Roman" w:hAnsi="Times New Roman" w:eastAsia="Times New Roman" w:cs="Times New Roman"/>
              </w:rPr>
              <ns1:t>0</ns1:t>
            </ns1:r>
          </ns1:sup>
        </ns1:sSubSup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v</ns1:t>
                </ns1:r>
              </ns1:e>
              <ns1: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*</ns1:t>
                </ns1:r>
              </ns1:sup>
            </ns1:s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+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Δ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ψ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,</ns1:t>
            </ns1:r>
            <ns1:sSup>
              <ns1:e>
                <ns1:r>
                  <w:rPr>
                    <w:rFonts w:ascii="Times New Roman" w:hAnsi="Times New Roman" w:eastAsia="Times New Roman" w:cs="Times New Roman"/>
                  </w:rPr>
                  <ns1:t>v</ns1:t>
                </ns1:r>
              </ns1:e>
              <ns1:sup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*</ns1:t>
                </ns1:r>
              </ns1:sup>
            </ns1:sSup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≥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x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−</ns1:t>
        </ns1:r>
        <ns1:d>
          <ns1:dPr>
            <ns1:begChr ns1:val="|"/>
            <ns1:endChr ns1:val="|"/>
            <ns1:sepChr ns1:val=""/>
            <ns1:grow/>
          </ns1:dPr>
          <ns1:e>
            <ns1:sSub>
              <ns1:e>
                <ns1:r>
                  <w:rPr>
                    <w:rFonts w:ascii="Times New Roman" w:hAnsi="Times New Roman" w:eastAsia="Times New Roman" w:cs="Times New Roman"/>
                  </w:rPr>
                  <ns1:t>Δ</ns1:t>
                </ns1:r>
              </ns1:e>
              <ns1:sub>
                <ns1:r>
                  <w:rPr>
                    <w:rFonts w:ascii="Times New Roman" w:hAnsi="Times New Roman" w:eastAsia="Times New Roman" w:cs="Times New Roman"/>
                  </w:rPr>
                  <ns1:t>ψ</ns1:t>
                </ns1:r>
              </ns1:sub>
            </ns1:sSub>
            <ns1:d>
              <ns1:dPr>
                <ns1:begChr ns1:val="("/>
                <ns1:endChr ns1:val=")"/>
                <ns1:sepChr ns1:val=""/>
                <ns1:grow/>
              </ns1:dPr>
              <ns1:e>
                <ns1:r>
                  <w:rPr>
                    <w:rFonts w:ascii="Times New Roman" w:hAnsi="Times New Roman" w:eastAsia="Times New Roman" w:cs="Times New Roman"/>
                  </w:rPr>
                  <ns1:t>x</ns1:t>
                </ns1:r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,</ns1:t>
                </ns1:r>
                <ns1:sSup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v</ns1:t>
                    </ns1:r>
                  </ns1:e>
                  <ns1:sup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*</ns1:t>
                    </ns1:r>
                  </ns1:sup>
                </ns1:sSup>
              </ns1:e>
            </ns1:d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≥</ns1:t>
        </ns1:r>
        <ns1:r>
          <w:rPr>
            <w:rFonts w:ascii="Times New Roman" w:hAnsi="Times New Roman" w:eastAsia="Times New Roman" w:cs="Times New Roman"/>
          </w:rPr>
          <ns1:t>0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Because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w:rPr>
            <w:rFonts w:ascii="Times New Roman" w:hAnsi="Times New Roman" w:eastAsia="Times New Roman" w:cs="Times New Roman"/>
          </w:rPr>
          <ns1:t>x</ns1:t>
        </ns1:r>
        <ns1:d>
          <ns1:dPr>
            <ns1:begChr ns1:val="("/>
            <ns1:endChr ns1:val=")"/>
            <ns1:sepChr ns1:val=""/>
            <ns1:grow/>
          </ns1:dPr>
          <ns1:e>
            <ns1:r>
              <w:rPr>
                <w:rFonts w:ascii="Times New Roman" w:hAnsi="Times New Roman" w:eastAsia="Times New Roman" w:cs="Times New Roman"/>
              </w:rPr>
              <ns1:t>0</ns1:t>
            </ns1:r>
          </ns1:e>
        </ns1:d>
        <ns1:r>
          <ns1:rPr>
            <ns1:sty ns1:val="p"/>
          </ns1:rPr>
          <w:rPr>
            <w:rFonts w:ascii="Times New Roman" w:hAnsi="Times New Roman" w:eastAsia="Times New Roman" w:cs="Times New Roman"/>
          </w:rPr>
          <ns1:t>∈</ns1:t>
        </ns1:r>
        <ns1:r>
          <ns1:rPr>
            <ns1:sty ns1:val="p"/>
            <ns1:scr ns1:val="script"/>
          </ns1:rPr>
          <w:rPr>
            <w:rFonts w:ascii="Times New Roman" w:hAnsi="Times New Roman" w:eastAsia="Times New Roman" w:cs="Times New Roman"/>
          </w:rPr>
          <ns1:t>C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, all lower-order recursive conditions in the main article’s definition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  <ns1:scr ns1:val="script"/>
          </ns1:rPr>
          <w:rPr>
            <w:rFonts w:ascii="Times New Roman" w:hAnsi="Times New Roman" w:eastAsia="Times New Roman" w:cs="Times New Roman"/>
          </w:rPr>
          <ns1:t>C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are satisfied initially. The HOCBF forward-invariance theorem cited there therefore renders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r>
          <ns1:rPr>
            <ns1:sty ns1:val="p"/>
            <ns1:scr ns1:val="script"/>
          </ns1:rPr>
          <w:rPr>
            <w:rFonts w:ascii="Times New Roman" w:hAnsi="Times New Roman" w:eastAsia="Times New Roman" w:cs="Times New Roman"/>
          </w:rPr>
          <ns1:t>C</ns1:t>
        </ns1:r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forward invariant. ◻</w:t>
      </w:r>
    </w:p>
    <w:p>
      <w:pPr>
        <w:jc w:val="left"/>
        <w:spacing w:before="0" w:after="0"/>
      </w:pPr>
      <w:r>
        <w:rPr>
          <w:rFonts w:ascii="Times New Roman" w:hAnsi="Times New Roman" w:eastAsia="Times New Roman" w:cs="Times New Roman"/>
          <w:sz w:val="20"/>
          <w:szCs w:val="20"/>
          <w:color w:val="000000"/>
          <w:b/>
          <w:bCs/>
          <w:i/>
          <w:iCs/>
        </w:rPr>
        <w:t>7.3 Coupling Coefficient Gap Bound</w:t>
      </w:r>
    </w:p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The coupling coefficient gap is bounded by:</w:t>
      </w:r>
    </w:p>
    <w:tbl>
      <w:tblPr>
        <w:tblDescription w:val="EquationNumbering"/>
        <w:tblW w:w="85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0"/>
        <w:gridCol w:w="700"/>
      </w:tblGrid>
      <w:tr>
        <w:tc>
          <w:tcPr>
            <w:tcW w:w="78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ns1:oMathPara>
              <ns1:oMathParaPr>
                <ns1:jc ns1:val="center"/>
              </ns1:oMathParaPr>
              <ns1:oMath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σ</ns1:t>
                    </ns1:r>
                  </ns1:e>
                  <ns1:sub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c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t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r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l</ns1:t>
                    </ns1:r>
                  </ns1:sub>
                </ns1:sSub>
                <ns1:d>
                  <ns1:dPr>
                    <ns1:begChr ns1:val="("/>
                    <ns1:endChr ns1:val=")"/>
                    <ns1:sepChr ns1:val=""/>
                    <ns1:grow/>
                  </ns1:d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</ns1:d>
                <ns1:r>
                  <ns1:rPr>
                    <ns1:sty ns1:val="p"/>
                  </ns1:rPr>
                  <w:rPr>
                    <w:rFonts w:ascii="Times New Roman" w:hAnsi="Times New Roman" w:eastAsia="Times New Roman" w:cs="Times New Roman"/>
                  </w:rPr>
                  <ns1:t>=</ns1:t>
                </ns1:r>
                <ns1:r>
                  <w:rPr>
                    <w:rFonts w:ascii="Times New Roman" w:hAnsi="Times New Roman" w:eastAsia="Times New Roman" w:cs="Times New Roman"/>
                  </w:rPr>
                  <ns1:t>β</ns1:t>
                </ns1:r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v</ns1:t>
                    </ns1:r>
                  </ns1:e>
                  <ns1:sub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max</ns1:t>
                    </ns1:r>
                  </ns1:sub>
                </ns1:sSub>
                <ns1:nary>
                  <ns1:naryPr>
                    <ns1:chr ns1:val="∑"/>
                    <ns1:limLoc ns1:val="undOvr"/>
                    <ns1:subHide ns1:val="off"/>
                    <ns1:supHide ns1:val="on"/>
                  </ns1:naryPr>
                  <ns1:sub>
                    <ns1:r>
                      <w:rPr>
                        <w:rFonts w:ascii="Times New Roman" w:hAnsi="Times New Roman" w:eastAsia="Times New Roman" w:cs="Times New Roman"/>
                      </w:rPr>
                      <ns1:t>j</ns1:t>
                    </ns1:r>
                  </ns1:sub>
                  <ns1:sup>
                    <ns1:r>
                      <w:rPr>
                        <w:rFonts w:ascii="Times New Roman" w:hAnsi="Times New Roman" w:eastAsia="Times New Roman" w:cs="Times New Roman"/>
                      </w:rPr>
                      <ns1:t/>
                    </ns1:r>
                  </ns1:sup>
                  <ns1:e>
                    <ns1:sSub>
                      <ns1:e>
                        <ns1:d>
                          <ns1:dPr>
                            <ns1:begChr ns1:val="∥"/>
                            <ns1:endChr ns1:val="∥"/>
                            <ns1:sepChr ns1:val=""/>
                            <ns1:grow/>
                          </ns1:dPr>
                          <ns1:e>
                            <ns1:f>
                              <ns1:fPr>
                                <ns1:type ns1:val="bar"/>
                              </ns1:fPr>
                              <ns1:num>
                                <ns1:r>
                                  <ns1:rPr>
                                    <ns1:sty ns1:val="p"/>
                                  </ns1:rPr>
                                  <w:rPr>
                                    <w:rFonts w:ascii="Times New Roman" w:hAnsi="Times New Roman" w:eastAsia="Times New Roman" w:cs="Times New Roman"/>
                                  </w:rPr>
                                  <ns1:t>∂</ns1:t>
                                </ns1:r>
                                <ns1:d>
                                  <ns1:dPr>
                                    <ns1:begChr ns1:val="("/>
                                    <ns1:endChr ns1:val=")"/>
                                    <ns1:sepChr ns1:val=""/>
                                    <ns1:grow/>
                                  </ns1:dPr>
                                  <ns1:e>
                                    <ns1:sSub>
                                      <ns1:e>
                                        <ns1:r>
                                          <w:rPr>
                                            <w:rFonts w:ascii="Times New Roman" w:hAnsi="Times New Roman" w:eastAsia="Times New Roman" w:cs="Times New Roman"/>
                                          </w:rPr>
                                          <ns1:t>L</ns1:t>
                                        </ns1:r>
                                      </ns1:e>
                                      <ns1:sub>
                                        <ns1:sSub>
                                          <ns1:e>
                                            <ns1:r>
                                              <w:rPr>
                                                <w:rFonts w:ascii="Times New Roman" w:hAnsi="Times New Roman" w:eastAsia="Times New Roman" w:cs="Times New Roman"/>
                                              </w:rPr>
                                              <ns1:t>g</ns1:t>
                                            </ns1:r>
                                          </ns1:e>
                                          <ns1:sub>
                                            <ns1:r>
                                              <w:rPr>
                                                <w:rFonts w:ascii="Times New Roman" w:hAnsi="Times New Roman" w:eastAsia="Times New Roman" w:cs="Times New Roman"/>
                                              </w:rPr>
                                              <ns1:t>v</ns1:t>
                                            </ns1:r>
                                          </ns1:sub>
                                        </ns1:sSub>
                                      </ns1:sub>
                                    </ns1:sSub>
                                    <ns1:sSubSup>
                                      <ns1:e>
                                        <ns1:r>
                                          <w:rPr>
                                            <w:rFonts w:ascii="Times New Roman" w:hAnsi="Times New Roman" w:eastAsia="Times New Roman" w:cs="Times New Roman"/>
                                          </w:rPr>
                                          <ns1:t>L</ns1:t>
                                        </ns1:r>
                                      </ns1:e>
                                      <ns1:sub>
                                        <ns1:acc>
                                          <ns1:accPr>
                                            <ns1:chr ns1:val="̂"/>
                                          </ns1:accPr>
                                          <ns1:e>
                                            <ns1:r>
                                              <w:rPr>
                                                <w:rFonts w:ascii="Times New Roman" w:hAnsi="Times New Roman" w:eastAsia="Times New Roman" w:cs="Times New Roman"/>
                                              </w:rPr>
                                              <ns1:t>f</ns1:t>
                                            </ns1:r>
                                          </ns1:e>
                                        </ns1:acc>
                                      </ns1:sub>
                                      <ns1:sup>
                                        <ns1:r>
                                          <w:rPr>
                                            <w:rFonts w:ascii="Times New Roman" w:hAnsi="Times New Roman" w:eastAsia="Times New Roman" w:cs="Times New Roman"/>
                                          </w:rPr>
                                          <ns1:t>m</ns1:t>
                                        </ns1:r>
                                        <ns1:r>
                                          <ns1:rPr>
                                            <ns1:sty ns1:val="p"/>
                                          </ns1:rPr>
                                          <w:rPr>
                                            <w:rFonts w:ascii="Times New Roman" w:hAnsi="Times New Roman" w:eastAsia="Times New Roman" w:cs="Times New Roman"/>
                                          </w:rPr>
                                          <ns1:t>−</ns1:t>
                                        </ns1:r>
                                        <ns1:r>
                                          <w:rPr>
                                            <w:rFonts w:ascii="Times New Roman" w:hAnsi="Times New Roman" w:eastAsia="Times New Roman" w:cs="Times New Roman"/>
                                          </w:rPr>
                                          <ns1:t>1</ns1:t>
                                        </ns1:r>
                                      </ns1:sup>
                                    </ns1:sSubSup>
                                    <ns1:r>
                                      <w:rPr>
                                        <w:rFonts w:ascii="Times New Roman" w:hAnsi="Times New Roman" w:eastAsia="Times New Roman" w:cs="Times New Roman"/>
                                      </w:rPr>
                                      <ns1:t>h</ns1:t>
                                    </ns1:r>
                                  </ns1:e>
                                </ns1:d>
                              </ns1:num>
                              <ns1:den>
                                <ns1:r>
                                  <ns1:rPr>
                                    <ns1:sty ns1:val="p"/>
                                  </ns1:rPr>
                                  <w:rPr>
                                    <w:rFonts w:ascii="Times New Roman" w:hAnsi="Times New Roman" w:eastAsia="Times New Roman" w:cs="Times New Roman"/>
                                  </w:rPr>
                                  <ns1:t>∂</ns1:t>
                                </ns1:r>
                                <ns1:sSub>
                                  <ns1:e>
                                    <ns1:r>
                                      <w:rPr>
                                        <w:rFonts w:ascii="Times New Roman" w:hAnsi="Times New Roman" w:eastAsia="Times New Roman" w:cs="Times New Roman"/>
                                      </w:rPr>
                                      <ns1:t>x</ns1:t>
                                    </ns1:r>
                                  </ns1:e>
                                  <ns1:sub>
                                    <ns1:r>
                                      <w:rPr>
                                        <w:rFonts w:ascii="Times New Roman" w:hAnsi="Times New Roman" w:eastAsia="Times New Roman" w:cs="Times New Roman"/>
                                      </w:rPr>
                                      <ns1:t>j</ns1:t>
                                    </ns1:r>
                                  </ns1:sub>
                                </ns1:sSub>
                              </ns1:den>
                            </ns1:f>
                          </ns1:e>
                        </ns1:d>
                      </ns1:e>
                      <ns1:sub>
                        <ns1:r>
                          <w:rPr>
                            <w:rFonts w:ascii="Times New Roman" w:hAnsi="Times New Roman" w:eastAsia="Times New Roman" w:cs="Times New Roman"/>
                          </w:rPr>
                          <ns1:t>2</ns1:t>
                        </ns1:r>
                      </ns1:sub>
                    </ns1:sSub>
                  </ns1:e>
                </ns1:nary>
                <ns1:sSub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σ</ns1:t>
                    </ns1:r>
                  </ns1:e>
                  <ns1:sub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G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P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,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j</ns1:t>
                    </ns1:r>
                  </ns1:sub>
                </ns1:sSub>
                <ns1:d>
                  <ns1:dPr>
                    <ns1:begChr ns1:val="("/>
                    <ns1:endChr ns1:val=")"/>
                    <ns1:sepChr ns1:val=""/>
                    <ns1:grow/>
                  </ns1:dPr>
                  <ns1:e>
                    <ns1:r>
                      <w:rPr>
                        <w:rFonts w:ascii="Times New Roman" w:hAnsi="Times New Roman" w:eastAsia="Times New Roman" w:cs="Times New Roman"/>
                      </w:rPr>
                      <ns1:t>x</ns1:t>
                    </ns1:r>
                  </ns1:e>
                </ns1:d>
              </ns1:oMath>
            </ns1:oMathPara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(S8)</w:t>
            </w:r>
          </w:p>
        </w:tc>
      </w:tr>
    </w:tbl>
    <w:p>
      <w:pPr>
        <w:pStyle w:val="11"/>
        <w:jc w:val="left"/>
        <w:ind w:firstLine="42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where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v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w:rPr>
                <w:rFonts w:ascii="Times New Roman" w:hAnsi="Times New Roman" w:eastAsia="Times New Roman" w:cs="Times New Roman"/>
              </w:rPr>
              <ns1:t>g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0</ns1:t>
            </ns1:r>
          </ns1:sub>
        </ns1:sSub>
        <ns1:sSub>
          <ns1:e>
            <ns1:r>
              <w:rPr>
                <w:rFonts w:ascii="Times New Roman" w:hAnsi="Times New Roman" w:eastAsia="Times New Roman" w:cs="Times New Roman"/>
              </w:rPr>
              <ns1:t>S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u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v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max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sup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v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∈</ns1:t>
            </ns1:r>
            <ns1:sSup>
              <ns1:e>
                <ns1:d>
                  <ns1:dPr>
                    <ns1:begChr ns1:val="["/>
                    <ns1:endChr ns1:val="]"/>
                    <ns1:sepChr ns1:val=""/>
                    <ns1:grow/>
                  </ns1:dPr>
                  <ns1:e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−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1</ns1:t>
                    </ns1:r>
                    <ns1:r>
                      <ns1:rPr>
                        <ns1:sty ns1:val="p"/>
                      </ns1:rPr>
                      <w:rPr>
                        <w:rFonts w:ascii="Times New Roman" w:hAnsi="Times New Roman" w:eastAsia="Times New Roman" w:cs="Times New Roman"/>
                      </w:rPr>
                      <ns1:t>,</ns1:t>
                    </ns1:r>
                    <ns1:r>
                      <w:rPr>
                        <w:rFonts w:ascii="Times New Roman" w:hAnsi="Times New Roman" w:eastAsia="Times New Roman" w:cs="Times New Roman"/>
                      </w:rPr>
                      <ns1:t>1</ns1:t>
                    </ns1:r>
                  </ns1:e>
                </ns1:d>
              </ns1:e>
              <ns1:sup>
                <ns1:r>
                  <w:rPr>
                    <w:rFonts w:ascii="Times New Roman" w:hAnsi="Times New Roman" w:eastAsia="Times New Roman" w:cs="Times New Roman"/>
                  </w:rPr>
                  <ns1:t>3</ns1:t>
                </ns1:r>
              </ns1:sup>
            </ns1:sSup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∥</ns1:t>
        </ns1:r>
        <ns1:r>
          <w:rPr>
            <w:rFonts w:ascii="Times New Roman" w:hAnsi="Times New Roman" w:eastAsia="Times New Roman" w:cs="Times New Roman"/>
          </w:rPr>
          <ns1:t>v</ns1:t>
        </ns1:r>
        <ns1:sSub>
          <ns1:e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∥</ns1:t>
            </ns1:r>
          </ns1:e>
          <ns1:sub>
            <ns1:r>
              <w:rPr>
                <w:rFonts w:ascii="Times New Roman" w:hAnsi="Times New Roman" w:eastAsia="Times New Roman" w:cs="Times New Roman"/>
              </w:rPr>
              <ns1:t>2</ns1:t>
            </ns1:r>
          </ns1:sub>
        </ns1:sSub>
        <ns1:r>
          <ns1:rPr>
            <ns1:sty ns1:val="p"/>
          </ns1:rPr>
          <w:rPr>
            <w:rFonts w:ascii="Times New Roman" w:hAnsi="Times New Roman" w:eastAsia="Times New Roman" w:cs="Times New Roman"/>
          </w:rPr>
          <ns1:t>=</ns1:t>
        </ns1:r>
        <ns1:rad>
          <ns1:radPr>
            <ns1:degHide ns1:val="on"/>
          </ns1:radPr>
          <ns1:deg/>
          <ns1:e>
            <ns1:r>
              <w:rPr>
                <w:rFonts w:ascii="Times New Roman" w:hAnsi="Times New Roman" w:eastAsia="Times New Roman" w:cs="Times New Roman"/>
              </w:rPr>
              <ns1:t>3</ns1:t>
            </ns1:r>
          </ns1:e>
        </ns1:rad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 This term is evaluated separately for each barrier row and included in that row’s total margin; Theorem 1 does not assume a fixed ratio between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c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r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ns1:oMath>
        <ns1:sSub>
          <ns1:e>
            <ns1:r>
              <w:rPr>
                <w:rFonts w:ascii="Times New Roman" w:hAnsi="Times New Roman" w:eastAsia="Times New Roman" w:cs="Times New Roman"/>
              </w:rPr>
              <ns1:t>σ</ns1:t>
            </ns1:r>
          </ns1:e>
          <ns1:sub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o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t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a</ns1:t>
            </ns1:r>
            <ns1:r>
              <ns1:rPr>
                <ns1:sty ns1:val="p"/>
              </ns1:rPr>
              <w:rPr>
                <w:rFonts w:ascii="Times New Roman" w:hAnsi="Times New Roman" w:eastAsia="Times New Roman" w:cs="Times New Roman"/>
              </w:rPr>
              <ns1:t>l</ns1:t>
            </ns1:r>
          </ns1:sub>
        </ns1:sSub>
      </ns1:oMath>
      <w:r>
        <w:rPr>
          <w:rFonts w:ascii="Times New Roman" w:hAnsi="Times New Roman" w:eastAsia="Times New Roman" w:cs="Times New Roman"/>
          <w:sz w:val="20"/>
          <w:szCs w:val="20"/>
        </w:rPr>
        <w:t xml:space="preserve"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ns1="http://schemas.openxmlformats.org/markup-compatibility/2006" xmlns:w="http://schemas.openxmlformats.org/wordprocessingml/2006/main" ns1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="http://schemas.openxmlformats.org/wordprocessingml/2006/main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360" w:left="720"/>
      </w:pPr>
      <w:rPr>
        <w:rFonts w:ascii="Times New Roman" w:hAnsi="Times New Roman" w:eastAsia="Times New Roman" w:cs="Times New Roman"/>
      </w:rPr>
    </w:lvl>
    <w:lvl w:ilvl="1" w:tentative="0">
      <w:start w:val="0"/>
      <w:numFmt w:val="bullet"/>
      <w:lvlText w:val=" "/>
      <w:lvlJc w:val="left"/>
      <w:pPr>
        <w:ind w:hanging="360" w:left="1440"/>
      </w:pPr>
      <w:rPr>
        <w:rFonts w:ascii="Times New Roman" w:hAnsi="Times New Roman" w:eastAsia="Times New Roman" w:cs="Times New Roman"/>
      </w:rPr>
    </w:lvl>
    <w:lvl w:ilvl="2" w:tentative="0">
      <w:start w:val="0"/>
      <w:numFmt w:val="bullet"/>
      <w:lvlText w:val=" "/>
      <w:lvlJc w:val="left"/>
      <w:pPr>
        <w:ind w:hanging="360" w:left="2160"/>
      </w:pPr>
      <w:rPr>
        <w:rFonts w:ascii="Times New Roman" w:hAnsi="Times New Roman" w:eastAsia="Times New Roman" w:cs="Times New Roman"/>
      </w:rPr>
    </w:lvl>
    <w:lvl w:ilvl="3" w:tentative="0">
      <w:start w:val="0"/>
      <w:numFmt w:val="bullet"/>
      <w:lvlText w:val=" "/>
      <w:lvlJc w:val="left"/>
      <w:pPr>
        <w:ind w:hanging="360" w:left="2880"/>
      </w:pPr>
      <w:rPr>
        <w:rFonts w:ascii="Times New Roman" w:hAnsi="Times New Roman" w:eastAsia="Times New Roman" w:cs="Times New Roman"/>
      </w:rPr>
    </w:lvl>
    <w:lvl w:ilvl="4" w:tentative="0">
      <w:start w:val="0"/>
      <w:numFmt w:val="bullet"/>
      <w:lvlText w:val=" "/>
      <w:lvlJc w:val="left"/>
      <w:pPr>
        <w:ind w:hanging="360" w:left="3600"/>
      </w:pPr>
      <w:rPr>
        <w:rFonts w:ascii="Times New Roman" w:hAnsi="Times New Roman" w:eastAsia="Times New Roman" w:cs="Times New Roman"/>
      </w:rPr>
    </w:lvl>
    <w:lvl w:ilvl="5" w:tentative="0">
      <w:start w:val="0"/>
      <w:numFmt w:val="bullet"/>
      <w:lvlText w:val=" "/>
      <w:lvlJc w:val="left"/>
      <w:pPr>
        <w:ind w:hanging="360" w:left="4320"/>
      </w:pPr>
      <w:rPr>
        <w:rFonts w:ascii="Times New Roman" w:hAnsi="Times New Roman" w:eastAsia="Times New Roman" w:cs="Times New Roman"/>
      </w:rPr>
    </w:lvl>
    <w:lvl w:ilvl="6" w:tentative="0">
      <w:start w:val="0"/>
      <w:numFmt w:val="bullet"/>
      <w:lvlText w:val=" "/>
      <w:lvlJc w:val="left"/>
      <w:pPr>
        <w:ind w:hanging="360" w:left="5040"/>
      </w:pPr>
      <w:rPr>
        <w:rFonts w:ascii="Times New Roman" w:hAnsi="Times New Roman" w:eastAsia="Times New Roman" w:cs="Times New Roman"/>
      </w:rPr>
    </w:lvl>
    <w:lvl w:ilvl="7" w:tentative="0">
      <w:start w:val="0"/>
      <w:numFmt w:val="bullet"/>
      <w:lvlText w:val=" "/>
      <w:lvlJc w:val="left"/>
      <w:pPr>
        <w:ind w:hanging="360" w:left="5760"/>
      </w:pPr>
      <w:rPr>
        <w:rFonts w:ascii="Times New Roman" w:hAnsi="Times New Roman" w:eastAsia="Times New Roman" w:cs="Times New Roman"/>
      </w:rPr>
    </w:lvl>
    <w:lvl w:ilvl="8" w:tentative="0">
      <w:start w:val="0"/>
      <w:numFmt w:val="bullet"/>
      <w:lvlText w:val=" "/>
      <w:lvlJc w:val="left"/>
      <w:pPr>
        <w:ind w:hanging="360" w:left="6480"/>
      </w:pPr>
      <w:rPr>
        <w:rFonts w:ascii="Times New Roman" w:hAnsi="Times New Roman" w:eastAsia="Times New Roman" w:cs="Times New Roman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Times New Roman" w:cs="Times New Roman" w:eastAsia="Times New Roman" w:hAnsi="Times New Roman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Times New Roman" w:cs="Times New Roman" w:eastAsia="Times New Roman" w:hAnsi="Times New Roman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Times New Roman" w:cs="Times New Roman" w:eastAsia="Times New Roman" w:hAnsi="Times New Roman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Times New Roman" w:cs="Times New Roman" w:eastAsia="Times New Roman" w:hAnsi="Times New Roman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Times New Roman" w:cs="Times New Roman" w:eastAsia="Times New Roman" w:hAnsi="Times New Roman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Times New Roman" w:cs="Times New Roman" w:eastAsia="Times New Roman" w:hAnsi="Times New Roman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Times New Roman" w:cs="Times New Roman" w:eastAsia="Times New Roman" w:hAnsi="Times New Roman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Times New Roman" w:cs="Times New Roman" w:eastAsia="Times New Roman" w:hAnsi="Times New Roman" w:hint="default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hanging="360" w:left="72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hanging="360" w:left="144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lvlText w:val="%3."/>
      <w:lvlJc w:val="left"/>
      <w:pPr>
        <w:ind w:hanging="360" w:left="21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lvlText w:val="%4."/>
      <w:lvlJc w:val="left"/>
      <w:pPr>
        <w:ind w:hanging="360" w:left="288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lvlText w:val="%5."/>
      <w:lvlJc w:val="left"/>
      <w:pPr>
        <w:ind w:hanging="360" w:left="360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lvlText w:val="%6."/>
      <w:lvlJc w:val="left"/>
      <w:pPr>
        <w:ind w:hanging="360" w:left="432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lvlText w:val="%7."/>
      <w:lvlJc w:val="left"/>
      <w:pPr>
        <w:ind w:hanging="360" w:left="504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lvlText w:val="%8."/>
      <w:lvlJc w:val="left"/>
      <w:pPr>
        <w:ind w:hanging="360" w:left="57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lvlText w:val="%9."/>
      <w:lvlJc w:val="left"/>
      <w:pPr>
        <w:ind w:hanging="360" w:left="6480"/>
      </w:pPr>
      <w:rPr>
        <w:rFonts w:ascii="Times New Roman" w:hAnsi="Times New Roman" w:eastAsia="Times New Roman" w:cs="Times New Roman"/>
      </w:rPr>
    </w:lvl>
  </w:abstractNum>
  <w:abstractNum w:abstractNumId="3">
    <w:nsid w:val="0B6F0419"/>
    <w:multiLevelType w:val="singleLevel"/>
    <w:tmpl w:val="0B6F0419"/>
    <w:lvl w:ilvl="0" w:tentative="0">
      <w:start w:val="1"/>
      <w:numFmt w:val="decimal"/>
      <w:lvlText w:val="[%1]"/>
      <w:lvlJc w:val="left"/>
      <w:pPr>
        <w:tabs>
          <w:tab w:pos="397" w:val="left"/>
        </w:tabs>
        <w:ind w:firstLineChars="0" w:hanging="454" w:left="454" w:leftChars="0"/>
      </w:pPr>
      <w:rPr>
        <w:rFonts w:ascii="Times New Roman" w:cs="Times New Roman" w:eastAsia="Times New Roman" w:hAnsi="Times New Roman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  <w:rPr>
        <w:rFonts w:ascii="Times New Roman" w:hAnsi="Times New Roman" w:eastAsia="Times New Roman" w:cs="Times New Roman"/>
      </w:rPr>
    </w:lvl>
    <w:lvl w:ilvl="1">
      <w:numFmt w:val="bullet"/>
      <w:lvlText w:val=" "/>
      <w:lvlJc w:val="left"/>
      <w:pPr>
        <w:ind w:left="1440" w:hanging="480"/>
      </w:pPr>
      <w:rPr>
        <w:rFonts w:ascii="Times New Roman" w:hAnsi="Times New Roman" w:eastAsia="Times New Roman" w:cs="Times New Roman"/>
      </w:rPr>
    </w:lvl>
    <w:lvl w:ilvl="2">
      <w:numFmt w:val="bullet"/>
      <w:lvlText w:val=" "/>
      <w:lvlJc w:val="left"/>
      <w:pPr>
        <w:ind w:left="2160" w:hanging="480"/>
      </w:pPr>
      <w:rPr>
        <w:rFonts w:ascii="Times New Roman" w:hAnsi="Times New Roman" w:eastAsia="Times New Roman" w:cs="Times New Roman"/>
      </w:rPr>
    </w:lvl>
    <w:lvl w:ilvl="3">
      <w:numFmt w:val="bullet"/>
      <w:lvlText w:val=" "/>
      <w:lvlJc w:val="left"/>
      <w:pPr>
        <w:ind w:left="2880" w:hanging="480"/>
      </w:pPr>
      <w:rPr>
        <w:rFonts w:ascii="Times New Roman" w:hAnsi="Times New Roman" w:eastAsia="Times New Roman" w:cs="Times New Roman"/>
      </w:rPr>
    </w:lvl>
    <w:lvl w:ilvl="4">
      <w:numFmt w:val="bullet"/>
      <w:lvlText w:val=" "/>
      <w:lvlJc w:val="left"/>
      <w:pPr>
        <w:ind w:left="3600" w:hanging="480"/>
      </w:pPr>
      <w:rPr>
        <w:rFonts w:ascii="Times New Roman" w:hAnsi="Times New Roman" w:eastAsia="Times New Roman" w:cs="Times New Roman"/>
      </w:rPr>
    </w:lvl>
    <w:lvl w:ilvl="5">
      <w:numFmt w:val="bullet"/>
      <w:lvlText w:val=" "/>
      <w:lvlJc w:val="left"/>
      <w:pPr>
        <w:ind w:left="4320" w:hanging="480"/>
      </w:pPr>
      <w:rPr>
        <w:rFonts w:ascii="Times New Roman" w:hAnsi="Times New Roman" w:eastAsia="Times New Roman" w:cs="Times New Roman"/>
      </w:rPr>
    </w:lvl>
    <w:lvl w:ilvl="6">
      <w:numFmt w:val="bullet"/>
      <w:lvlText w:val=" "/>
      <w:lvlJc w:val="left"/>
      <w:pPr>
        <w:ind w:left="5040" w:hanging="480"/>
      </w:pPr>
      <w:rPr>
        <w:rFonts w:ascii="Times New Roman" w:hAnsi="Times New Roman" w:eastAsia="Times New Roman" w:cs="Times New Roman"/>
      </w:rPr>
    </w:lvl>
    <w:lvl w:ilvl="7">
      <w:numFmt w:val="bullet"/>
      <w:lvlText w:val=" "/>
      <w:lvlJc w:val="left"/>
      <w:pPr>
        <w:ind w:left="5760" w:hanging="480"/>
      </w:pPr>
      <w:rPr>
        <w:rFonts w:ascii="Times New Roman" w:hAnsi="Times New Roman" w:eastAsia="Times New Roman" w:cs="Times New Roman"/>
      </w:rPr>
    </w:lvl>
    <w:lvl w:ilvl="8">
      <w:numFmt w:val="bullet"/>
      <w:lvlText w:val=" "/>
      <w:lvlJc w:val="left"/>
      <w:pPr>
        <w:ind w:left="6480" w:hanging="480"/>
      </w:pPr>
      <w:rPr>
        <w:rFonts w:ascii="Times New Roman" w:hAnsi="Times New Roman" w:eastAsia="Times New Roman" w:cs="Times New Roman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eastAsia="Times New Roman" w:cs="Times New Roman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eastAsia="Times New Roman" w:cs="Times New Roman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eastAsia="Times New Roman" w:cs="Times New Roman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eastAsia="Times New Roman" w:cs="Times New Roman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eastAsia="Times New Roman" w:cs="Times New Roman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eastAsia="Times New Roman" w:cs="Times New Roman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eastAsia="Times New Roman" w:cs="Times New Roman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eastAsia="Times New Roman" w:cs="Times New Roman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eastAsia="Times New Roman"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1000">
    <w:abstractNumId w:val="990"/>
  </w:num>
  <w:num w:numId="1001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zoom w:percent="15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  <w:doNotAutoCompressPictures/>
  <w:defaultImageDpi w:val="600"/>
  <ns1:mathPr>
    <ns1:mathFont ns1:val="Times New Roman"/>
  </ns1:mathPr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asciiTheme="minorHAnsi" w:cs="Times New Roman" w:cstheme="minorBidi" w:eastAsia="Times New Roman" w:eastAsiaTheme="minorEastAsia" w:hAnsi="Times New Roman" w:hAnsiTheme="minorHAnsi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2E54A1"/>
      <w:sz w:val="40"/>
      <w:szCs w:val="40"/>
    </w:rPr>
  </w:style>
  <w:style w:styleId="4" w:type="paragraph">
    <w:name w:val="heading 2"/>
    <w:basedOn w:val="1"/>
    <w:next w:val="3"/>
    <w:semiHidden/>
    <w:unhideWhenUsed/>
    <w:qFormat/>
    <w:uiPriority w:val="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2E54A1"/>
      <w:sz w:val="32"/>
      <w:szCs w:val="32"/>
    </w:rPr>
  </w:style>
  <w:style w:default="1" w:styleId="7" w:type="character">
    <w:name w:val="Default Paragraph Font"/>
    <w:semiHidden/>
    <w:uiPriority w:val="0"/>
  </w:style>
  <w:style w:default="1" w:styleId="6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9"/>
    <w:qFormat/>
    <w:uiPriority w:val="0"/>
    <w:pPr>
      <w:spacing w:after="180" w:before="180"/>
    </w:pPr>
  </w:style>
  <w:style w:styleId="5" w:type="paragraph">
    <w:name w:val="caption"/>
    <w:basedOn w:val="1"/>
    <w:qFormat/>
    <w:uiPriority w:val="0"/>
    <w:pPr>
      <w:spacing w:after="120" w:before="0"/>
    </w:pPr>
    <w:rPr>
      <w:rFonts w:ascii="Times New Roman" w:cs="Times New Roman" w:eastAsia="Times New Roman" w:hAnsi="Times New Roman"/>
      <w:i/>
    </w:rPr>
  </w:style>
  <w:style w:styleId="8" w:type="character">
    <w:name w:val="Hyperlink"/>
    <w:basedOn w:val="9"/>
    <w:qFormat/>
    <w:uiPriority w:val="0"/>
    <w:rPr>
      <w:rFonts w:ascii="Times New Roman" w:cs="Times New Roman" w:eastAsia="Times New Roman" w:hAnsi="Times New Roman"/>
      <w:color w:val="0000FF"/>
      <w:u w:val="single"/>
    </w:rPr>
  </w:style>
  <w:style w:customStyle="1" w:styleId="9" w:type="character">
    <w:name w:val="Body Text Char"/>
    <w:basedOn w:val="7"/>
    <w:link w:val="3"/>
    <w:qFormat/>
    <w:uiPriority w:val="0"/>
  </w:style>
  <w:style w:customStyle="1" w:styleId="10" w:type="character">
    <w:name w:val="Section Number"/>
    <w:basedOn w:val="9"/>
    <w:qFormat/>
    <w:uiPriority w:val="0"/>
  </w:style>
  <w:style w:customStyle="1" w:styleId="11" w:type="paragraph">
    <w:name w:val="First Paragraph"/>
    <w:basedOn w:val="3"/>
    <w:next w:val="3"/>
    <w:qFormat/>
    <w:uiPriority w:val="0"/>
  </w:style>
  <w:style w:customStyle="1" w:styleId="12" w:type="paragraph">
    <w:name w:val="Table Caption"/>
    <w:basedOn w:val="5"/>
    <w:qFormat/>
    <w:uiPriority w:val="0"/>
    <w:pPr>
      <w:keepNext/>
    </w:pPr>
  </w:style>
  <w:style w:customStyle="1" w:styleId="13" w:type="paragraph">
    <w:name w:val="Compact"/>
    <w:basedOn w:val="3"/>
    <w:qFormat/>
    <w:uiPriority w:val="0"/>
    <w:pPr>
      <w:spacing w:after="36" w:before="36"/>
    </w:pPr>
  </w:style>
  <w:style w:customStyle="1" w:styleId="14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15" w:type="paragraph">
    <w:name w:val="Captioned Figure"/>
    <w:basedOn w:val="16"/>
    <w:qFormat/>
    <w:uiPriority w:val="0"/>
    <w:pPr>
      <w:keepNext/>
    </w:pPr>
  </w:style>
  <w:style w:customStyle="1" w:styleId="16" w:type="paragraph">
    <w:name w:val="Figure"/>
    <w:basedOn w:val="1"/>
    <w:qFormat/>
    <w:uiPriority w:val="0"/>
  </w:style>
  <w:style w:customStyle="1" w:styleId="17" w:type="paragraph">
    <w:name w:val="Image Caption"/>
    <w:basedOn w:val="5"/>
    <w:qFormat/>
    <w:uiPriority w:val="0"/>
  </w:style>
  <w:style w:customStyle="1" w:styleId="18" w:type="paragraph">
    <w:name w:val="Bibliography"/>
    <w:basedOn w:val="1"/>
    <w:qFormat/>
    <w:uiPriority w:val="0"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rFonts w:ascii="Times New Roman" w:cs="Times New Roman" w:eastAsia="Times New Roman" w:hAnsi="Times New Roman"/>
      <w:b/>
      <w:color w:val="007020"/>
    </w:rPr>
  </w:style>
  <w:style w:customStyle="1" w:styleId="DataTypeTok" w:type="character">
    <w:name w:val="DataTypeTok"/>
    <w:basedOn w:val="VerbatimChar"/>
    <w:rPr>
      <w:rFonts w:ascii="Times New Roman" w:cs="Times New Roman" w:eastAsia="Times New Roman" w:hAnsi="Times New Roman"/>
      <w:color w:val="902000"/>
    </w:rPr>
  </w:style>
  <w:style w:customStyle="1" w:styleId="DecValTok" w:type="character">
    <w:name w:val="DecValTok"/>
    <w:basedOn w:val="VerbatimChar"/>
    <w:rPr>
      <w:rFonts w:ascii="Times New Roman" w:cs="Times New Roman" w:eastAsia="Times New Roman" w:hAnsi="Times New Roman"/>
      <w:color w:val="40a070"/>
    </w:rPr>
  </w:style>
  <w:style w:customStyle="1" w:styleId="BaseNTok" w:type="character">
    <w:name w:val="BaseNTok"/>
    <w:basedOn w:val="VerbatimChar"/>
    <w:rPr>
      <w:rFonts w:ascii="Times New Roman" w:cs="Times New Roman" w:eastAsia="Times New Roman" w:hAnsi="Times New Roman"/>
      <w:color w:val="40a070"/>
    </w:rPr>
  </w:style>
  <w:style w:customStyle="1" w:styleId="FloatTok" w:type="character">
    <w:name w:val="FloatTok"/>
    <w:basedOn w:val="VerbatimChar"/>
    <w:rPr>
      <w:rFonts w:ascii="Times New Roman" w:cs="Times New Roman" w:eastAsia="Times New Roman" w:hAnsi="Times New Roman"/>
      <w:color w:val="40a070"/>
    </w:rPr>
  </w:style>
  <w:style w:customStyle="1" w:styleId="ConstantTok" w:type="character">
    <w:name w:val="ConstantTok"/>
    <w:basedOn w:val="VerbatimChar"/>
    <w:rPr>
      <w:rFonts w:ascii="Times New Roman" w:cs="Times New Roman" w:eastAsia="Times New Roman" w:hAnsi="Times New Roman"/>
      <w:color w:val="880000"/>
    </w:rPr>
  </w:style>
  <w:style w:customStyle="1" w:styleId="CharTok" w:type="character">
    <w:name w:val="CharTok"/>
    <w:basedOn w:val="VerbatimChar"/>
    <w:rPr>
      <w:rFonts w:ascii="Times New Roman" w:cs="Times New Roman" w:eastAsia="Times New Roman" w:hAnsi="Times New Roman"/>
      <w:color w:val="4070a0"/>
    </w:rPr>
  </w:style>
  <w:style w:customStyle="1" w:styleId="SpecialCharTok" w:type="character">
    <w:name w:val="SpecialCharTok"/>
    <w:basedOn w:val="VerbatimChar"/>
    <w:rPr>
      <w:rFonts w:ascii="Times New Roman" w:cs="Times New Roman" w:eastAsia="Times New Roman" w:hAnsi="Times New Roman"/>
      <w:color w:val="4070a0"/>
    </w:rPr>
  </w:style>
  <w:style w:customStyle="1" w:styleId="StringTok" w:type="character">
    <w:name w:val="StringTok"/>
    <w:basedOn w:val="VerbatimChar"/>
    <w:rPr>
      <w:rFonts w:ascii="Times New Roman" w:cs="Times New Roman" w:eastAsia="Times New Roman" w:hAnsi="Times New Roman"/>
      <w:color w:val="4070a0"/>
    </w:rPr>
  </w:style>
  <w:style w:customStyle="1" w:styleId="VerbatimStringTok" w:type="character">
    <w:name w:val="VerbatimStringTok"/>
    <w:basedOn w:val="VerbatimChar"/>
    <w:rPr>
      <w:rFonts w:ascii="Times New Roman" w:cs="Times New Roman" w:eastAsia="Times New Roman" w:hAnsi="Times New Roman"/>
      <w:color w:val="4070a0"/>
    </w:rPr>
  </w:style>
  <w:style w:customStyle="1" w:styleId="SpecialStringTok" w:type="character">
    <w:name w:val="SpecialStringTok"/>
    <w:basedOn w:val="VerbatimChar"/>
    <w:rPr>
      <w:rFonts w:ascii="Times New Roman" w:cs="Times New Roman" w:eastAsia="Times New Roman" w:hAnsi="Times New Roman"/>
      <w:color w:val="bb6688"/>
    </w:rPr>
  </w:style>
  <w:style w:customStyle="1" w:styleId="ImportTok" w:type="character">
    <w:name w:val="ImportTok"/>
    <w:basedOn w:val="VerbatimChar"/>
    <w:rPr>
      <w:rFonts w:ascii="Times New Roman" w:cs="Times New Roman" w:eastAsia="Times New Roman" w:hAnsi="Times New Roman"/>
      <w:b/>
      <w:color w:val="008000"/>
    </w:rPr>
  </w:style>
  <w:style w:customStyle="1" w:styleId="CommentTok" w:type="character">
    <w:name w:val="CommentTok"/>
    <w:basedOn w:val="VerbatimChar"/>
    <w:rPr>
      <w:rFonts w:ascii="Times New Roman" w:cs="Times New Roman" w:eastAsia="Times New Roman" w:hAnsi="Times New Roman"/>
      <w:i/>
      <w:color w:val="60a0b0"/>
    </w:rPr>
  </w:style>
  <w:style w:customStyle="1" w:styleId="DocumentationTok" w:type="character">
    <w:name w:val="DocumentationTok"/>
    <w:basedOn w:val="VerbatimChar"/>
    <w:rPr>
      <w:rFonts w:ascii="Times New Roman" w:cs="Times New Roman" w:eastAsia="Times New Roman" w:hAnsi="Times New Roman"/>
      <w:i/>
      <w:color w:val="ba2121"/>
    </w:rPr>
  </w:style>
  <w:style w:customStyle="1" w:styleId="AnnotationTok" w:type="character">
    <w:name w:val="AnnotationTok"/>
    <w:basedOn w:val="VerbatimChar"/>
    <w:rPr>
      <w:rFonts w:ascii="Times New Roman" w:cs="Times New Roman" w:eastAsia="Times New Roman" w:hAnsi="Times New Roman"/>
      <w:b/>
      <w:i/>
      <w:color w:val="60a0b0"/>
    </w:rPr>
  </w:style>
  <w:style w:customStyle="1" w:styleId="CommentVarTok" w:type="character">
    <w:name w:val="CommentVarTok"/>
    <w:basedOn w:val="VerbatimChar"/>
    <w:rPr>
      <w:rFonts w:ascii="Times New Roman" w:cs="Times New Roman" w:eastAsia="Times New Roman" w:hAnsi="Times New Roman"/>
      <w:b/>
      <w:i/>
      <w:color w:val="60a0b0"/>
    </w:rPr>
  </w:style>
  <w:style w:customStyle="1" w:styleId="OtherTok" w:type="character">
    <w:name w:val="OtherTok"/>
    <w:basedOn w:val="VerbatimChar"/>
    <w:rPr>
      <w:rFonts w:ascii="Times New Roman" w:cs="Times New Roman" w:eastAsia="Times New Roman" w:hAnsi="Times New Roman"/>
      <w:color w:val="007020"/>
    </w:rPr>
  </w:style>
  <w:style w:customStyle="1" w:styleId="FunctionTok" w:type="character">
    <w:name w:val="FunctionTok"/>
    <w:basedOn w:val="VerbatimChar"/>
    <w:rPr>
      <w:rFonts w:ascii="Times New Roman" w:cs="Times New Roman" w:eastAsia="Times New Roman" w:hAnsi="Times New Roman"/>
      <w:color w:val="06287e"/>
    </w:rPr>
  </w:style>
  <w:style w:customStyle="1" w:styleId="VariableTok" w:type="character">
    <w:name w:val="VariableTok"/>
    <w:basedOn w:val="VerbatimChar"/>
    <w:rPr>
      <w:rFonts w:ascii="Times New Roman" w:cs="Times New Roman" w:eastAsia="Times New Roman" w:hAnsi="Times New Roman"/>
      <w:color w:val="19177c"/>
    </w:rPr>
  </w:style>
  <w:style w:customStyle="1" w:styleId="ControlFlowTok" w:type="character">
    <w:name w:val="ControlFlowTok"/>
    <w:basedOn w:val="VerbatimChar"/>
    <w:rPr>
      <w:rFonts w:ascii="Times New Roman" w:cs="Times New Roman" w:eastAsia="Times New Roman" w:hAnsi="Times New Roman"/>
      <w:b/>
      <w:color w:val="007020"/>
    </w:rPr>
  </w:style>
  <w:style w:customStyle="1" w:styleId="OperatorTok" w:type="character">
    <w:name w:val="OperatorTok"/>
    <w:basedOn w:val="VerbatimChar"/>
    <w:rPr>
      <w:rFonts w:ascii="Times New Roman" w:cs="Times New Roman" w:eastAsia="Times New Roman" w:hAnsi="Times New Roman"/>
      <w:color w:val="666666"/>
    </w:rPr>
  </w:style>
  <w:style w:customStyle="1" w:styleId="BuiltInTok" w:type="character">
    <w:name w:val="BuiltInTok"/>
    <w:basedOn w:val="VerbatimChar"/>
    <w:rPr>
      <w:rFonts w:ascii="Times New Roman" w:cs="Times New Roman" w:eastAsia="Times New Roman" w:hAnsi="Times New Roman"/>
      <w:color w:val="008000"/>
    </w:rPr>
  </w:style>
  <w:style w:customStyle="1" w:styleId="ExtensionTok" w:type="character">
    <w:name w:val="ExtensionTok"/>
    <w:basedOn w:val="VerbatimChar"/>
    <w:rPr>
      <w:rFonts w:ascii="Times New Roman" w:cs="Times New Roman" w:eastAsia="Times New Roman" w:hAnsi="Times New Roman"/>
    </w:rPr>
  </w:style>
  <w:style w:customStyle="1" w:styleId="PreprocessorTok" w:type="character">
    <w:name w:val="PreprocessorTok"/>
    <w:basedOn w:val="VerbatimChar"/>
    <w:rPr>
      <w:rFonts w:ascii="Times New Roman" w:cs="Times New Roman" w:eastAsia="Times New Roman" w:hAnsi="Times New Roman"/>
      <w:color w:val="bc7a00"/>
    </w:rPr>
  </w:style>
  <w:style w:customStyle="1" w:styleId="AttributeTok" w:type="character">
    <w:name w:val="AttributeTok"/>
    <w:basedOn w:val="VerbatimChar"/>
    <w:rPr>
      <w:rFonts w:ascii="Times New Roman" w:cs="Times New Roman" w:eastAsia="Times New Roman" w:hAnsi="Times New Roman"/>
      <w:color w:val="7d9029"/>
    </w:rPr>
  </w:style>
  <w:style w:customStyle="1" w:styleId="RegionMarkerTok" w:type="character">
    <w:name w:val="RegionMarkerTok"/>
    <w:basedOn w:val="VerbatimChar"/>
    <w:rPr>
      <w:rFonts w:ascii="Times New Roman" w:cs="Times New Roman" w:eastAsia="Times New Roman" w:hAnsi="Times New Roman"/>
    </w:rPr>
  </w:style>
  <w:style w:customStyle="1" w:styleId="InformationTok" w:type="character">
    <w:name w:val="InformationTok"/>
    <w:basedOn w:val="VerbatimChar"/>
    <w:rPr>
      <w:rFonts w:ascii="Times New Roman" w:cs="Times New Roman" w:eastAsia="Times New Roman" w:hAnsi="Times New Roman"/>
      <w:b/>
      <w:i/>
      <w:color w:val="60a0b0"/>
    </w:rPr>
  </w:style>
  <w:style w:customStyle="1" w:styleId="WarningTok" w:type="character">
    <w:name w:val="WarningTok"/>
    <w:basedOn w:val="VerbatimChar"/>
    <w:rPr>
      <w:rFonts w:ascii="Times New Roman" w:cs="Times New Roman" w:eastAsia="Times New Roman" w:hAnsi="Times New Roman"/>
      <w:b/>
      <w:i/>
      <w:color w:val="60a0b0"/>
    </w:rPr>
  </w:style>
  <w:style w:customStyle="1" w:styleId="AlertTok" w:type="character">
    <w:name w:val="AlertTok"/>
    <w:basedOn w:val="VerbatimChar"/>
    <w:rPr>
      <w:rFonts w:ascii="Times New Roman" w:cs="Times New Roman" w:eastAsia="Times New Roman" w:hAnsi="Times New Roman"/>
      <w:b/>
      <w:color w:val="ff0000"/>
    </w:rPr>
  </w:style>
  <w:style w:customStyle="1" w:styleId="ErrorTok" w:type="character">
    <w:name w:val="ErrorTok"/>
    <w:basedOn w:val="VerbatimChar"/>
    <w:rPr>
      <w:rFonts w:ascii="Times New Roman" w:cs="Times New Roman" w:eastAsia="Times New Roman" w:hAnsi="Times New Roman"/>
      <w:b/>
      <w:color w:val="ff0000"/>
    </w:rPr>
  </w:style>
  <w:style w:customStyle="1" w:styleId="NormalTok" w:type="character">
    <w:name w:val="NormalTok"/>
    <w:basedOn w:val="VerbatimChar"/>
    <w:rPr>
      <w:rFonts w:ascii="Times New Roman" w:cs="Times New Roman" w:eastAsia="Times New Roman" w:hAnsi="Times New Roman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ns0:theme xmlns:ns0="http://schemas.openxmlformats.org/drawingml/2006/main" name="WPS">
  <ns0:themeElements>
    <ns0:clrScheme name="WPS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874CB"/>
      </ns0:accent1>
      <ns0:accent2>
        <ns0:srgbClr val="EE822F"/>
      </ns0:accent2>
      <ns0:accent3>
        <ns0:srgbClr val="F2BA02"/>
      </ns0:accent3>
      <ns0:accent4>
        <ns0:srgbClr val="75BD42"/>
      </ns0:accent4>
      <ns0:accent5>
        <ns0:srgbClr val="30C0B4"/>
      </ns0:accent5>
      <ns0:accent6>
        <ns0:srgbClr val="E54C5E"/>
      </ns0:accent6>
      <ns0:hlink>
        <ns0:srgbClr val="0026E5"/>
      </ns0:hlink>
      <ns0:folHlink>
        <ns0:srgbClr val="7E1FAD"/>
      </ns0:folHlink>
    </ns0:clrScheme>
    <ns0:fontScheme name="WPS">
      <ns0:majorFont>
        <ns0:latin typeface="Calibri Light"/>
        <ns0:ea typeface=""/>
        <ns0:cs typeface=""/>
        <ns0:font script="Jpan" typeface="游ゴシック Light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游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WPS">
      <ns0:fillStyleLst>
        <ns0:solidFill>
          <ns0:schemeClr val="phClr"/>
        </ns0:solidFill>
        <ns0:gradFill>
          <ns0:gsLst>
            <ns0:gs pos="0">
              <ns0:schemeClr val="phClr">
                <ns0:lumOff val="17500"/>
              </ns0:schemeClr>
            </ns0:gs>
            <ns0:gs pos="100000">
              <ns0:schemeClr val="phClr"/>
            </ns0:gs>
          </ns0:gsLst>
          <ns0:lin ang="2700000" scaled="0"/>
        </ns0:gradFill>
        <ns0:gradFill>
          <ns0:gsLst>
            <ns0:gs pos="0">
              <ns0:schemeClr val="phClr">
                <ns0:hueOff val="-2520000"/>
              </ns0:schemeClr>
            </ns0:gs>
            <ns0:gs pos="100000">
              <ns0:schemeClr val="phClr"/>
            </ns0:gs>
          </ns0:gsLst>
          <ns0:lin ang="2700000" scaled="0"/>
        </ns0:gradFill>
      </ns0:fillStyleLst>
      <ns0:lnStyleLst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gradFill>
            <ns0:gsLst>
              <ns0:gs pos="0">
                <ns0:schemeClr val="phClr">
                  <ns0:hueOff val="-4200000"/>
                </ns0:schemeClr>
              </ns0:gs>
              <ns0:gs pos="100000">
                <ns0:schemeClr val="phClr"/>
              </ns0:gs>
            </ns0:gsLst>
            <ns0:lin ang="2700000" scaled="1"/>
          </ns0:gradFill>
          <ns0:prstDash val="solid"/>
          <ns0:miter lim="800000"/>
        </ns0:ln>
      </ns0:lnStyleLst>
      <ns0:effectStyleLst>
        <ns0:effectStyle>
          <ns0:effectLst>
            <ns0:outerShdw blurRad="101600" dist="50800" dir="5400000" algn="ctr" rotWithShape="0">
              <ns0:schemeClr val="phClr">
                <ns0:alpha val="60000"/>
              </ns0:schemeClr>
            </ns0:outerShdw>
          </ns0:effectLst>
        </ns0:effectStyle>
        <ns0:effectStyle>
          <ns0:effectLst>
            <ns0:reflection stA="50000" endA="300" endPos="40000" dist="25400" dir="5400000" sy="-100000" algn="bl" rotWithShape="0"/>
          </ns0:effectLst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</ns0:theme>
</file>

<file path=docProps/core.xml><?xml version="1.0" encoding="utf-8"?>
<cp:coreProperties xmlns:cp="http://schemas.openxmlformats.org/package/2006/metadata/core-properties" xmlns:dc="http://purl.org/dc/elements/1.1/">
  <dc:title>Supplemental Material for “Commissioning-Calibrated GP-HOCBF Safety Filtering for Ultra-Supercritical Boiler-Turbine Control under Model Mismatch”</dc:title>
  <dc:creator/>
  <cp:keywords/>
</cp:coreProperties>
</file>