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1.png" ContentType="image/png"/>
  <Override PartName="/word/media/rId75.png" ContentType="image/png"/>
  <Override PartName="/word/media/rId56.png" ContentType="image/png"/>
  <Override PartName="/word/media/rId48.png" ContentType="image/png"/>
  <Override PartName="/word/media/rId52.png" ContentType="image/png"/>
  <Override PartName="/word/media/rId67.png" ContentType="image/png"/>
  <Override PartName="/word/media/rId61.png" ContentType="image/png"/>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highlight w:val="yellow"/>
        </w:rPr>
        <w:t xml:space="preserve">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no-GP HOCBF produces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violations in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 samples; GP mean correction reduces this count to 36. Across separately commissioned scenario-specific GP models, the selected settings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S3 and 0 otherwise) give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in the primary sweep, while an independent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000-sample holdout test of the fixed S3 setting reports a 0.132% violation rate and 0.144% QP-rejection rate. The full implemented-margin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Boiler-turbine constraints do not all respond to actuation at the same order, so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needed to preserve the correct constraint dynamics. A uniform first-order CBF baseline would ignore these relative-degree differences, for example by treating the pressure constraint as if the input appeared in its first derivative. That baseline is structurally mismatched for this setting, independent of the separate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highlight w:val="yellow"/>
        </w:rPr>
        <w:t xml:space="preserve">For boiler-turbine control, the difficulty is structural. Pressure, separator enthalpy, and power constraints have different relative degrees,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pressure, separator-enthalpy, and power constraints with their correct relative degrees.</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highlight w:val="yellow"/>
        </w:rPr>
        <w:t xml:space="preserve">Commissioning-calibrated robustness factor.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and production-data validation.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validated on a fifth-order nonlinear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which is necessary when different process outputs respond to actuation at different orders.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highlight w:val="yellow"/>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highlight w:val="yellow"/>
        </w:rPr>
        <w:t>29</w:t>
      </w:r>
      <w:r>
        <w:rPr>
          <w:rFonts w:ascii="Times New Roman" w:hAnsi="Times New Roman" w:eastAsia="Times New Roman" w:cs="Times New Roman"/>
          <w:sz w:val="20"/>
          <w:szCs w:val="20"/>
          <w:highlight w:val="yellow"/>
        </w:rPr>
        <w:t>, sampled-data CBFs address the gap between continuous-time design and discrete-time implementation</w:t>
      </w:r>
      <w:r>
        <w:rPr>
          <w:rFonts w:ascii="Times New Roman" w:hAnsi="Times New Roman" w:eastAsia="Times New Roman" w:cs="Times New Roman"/>
          <w:sz w:val="20"/>
          <w:szCs w:val="20"/>
          <w:vertAlign w:val="superscript"/>
          <w:highlight w:val="yellow"/>
        </w:rPr>
        <w:t>30</w:t>
      </w:r>
      <w:r>
        <w:rPr>
          <w:rFonts w:ascii="Times New Roman" w:hAnsi="Times New Roman" w:eastAsia="Times New Roman" w:cs="Times New Roman"/>
          <w:sz w:val="20"/>
          <w:szCs w:val="20"/>
          <w:highlight w:val="yellow"/>
        </w:rPr>
        <w:t>, and recent stochastic discrete-time CBF work studies robustness under uncertainty</w:t>
      </w:r>
      <w:r>
        <w:rPr>
          <w:rFonts w:ascii="Times New Roman" w:hAnsi="Times New Roman" w:eastAsia="Times New Roman" w:cs="Times New Roman"/>
          <w:sz w:val="20"/>
          <w:szCs w:val="20"/>
          <w:vertAlign w:val="superscript"/>
          <w:highlight w:val="yellow"/>
        </w:rPr>
        <w:t>31</w:t>
      </w:r>
      <w:r>
        <w:rPr>
          <w:rFonts w:ascii="Times New Roman" w:hAnsi="Times New Roman" w:eastAsia="Times New Roman" w:cs="Times New Roman"/>
          <w:sz w:val="20"/>
          <w:szCs w:val="20"/>
          <w:highlight w:val="yellow"/>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boiler–turbine DCS deployment, mixed pressure/enthalpy/power relative degrees,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highlight w:val="yellow"/>
        </w:rPr>
        <w:t xml:space="preserve">Online operation has three steps: evaluate the GP residual model, build HOCBF rows with the correct relative degrees,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 feed, feedwater flow, and turbine-valve opening. The HOCBF and QP are formulated in the deviation-input space.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K</m:t>
        </m:r>
      </m:oMath>
      <w:r>
        <w:rPr>
          <w:rFonts w:ascii="Times New Roman" w:hAnsi="Times New Roman" w:eastAsia="Times New Roman" w:cs="Times New Roman"/>
          <w:sz w:val="20"/>
          <w:szCs w:val="20"/>
        </w:rPr>
        <w:t xml:space="preserve">, the stabilized deviation model used to build the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ξ</m:t>
                    </m:r>
                  </m:e>
                </m:acc>
                <m:r>
                  <m:rPr>
                    <m:sty m:val="p"/>
                  </m:rPr>
                  <w:rPr>
                    <w:rFonts w:ascii="Times New Roman" w:hAnsi="Times New Roman" w:eastAsia="Times New Roman" w:cs="Times New Roman"/>
                  </w:rPr>
                  <m:t>=</m:t>
                </m:r>
                <m:sSub>
                  <m:e>
                    <m:r>
                      <w:rPr>
                        <w:rFonts w:ascii="Times New Roman" w:hAnsi="Times New Roman" w:eastAsia="Times New Roman" w:cs="Times New Roman"/>
                      </w:rPr>
                      <m:t>A</m:t>
                    </m:r>
                  </m:e>
                  <m:sub>
                    <m:r>
                      <w:rPr>
                        <w:rFonts w:ascii="Times New Roman" w:hAnsi="Times New Roman" w:eastAsia="Times New Roman" w:cs="Times New Roman"/>
                      </w:rPr>
                      <m:t>K</m:t>
                    </m:r>
                  </m:sub>
                </m:sSub>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ξ</m:t>
                    </m:r>
                  </m:sub>
                </m:sSub>
                <m:r>
                  <m:rPr>
                    <m:sty m:val="p"/>
                  </m:rPr>
                  <w:rPr>
                    <w:rFonts w:ascii="Times New Roman" w:hAnsi="Times New Roman" w:eastAsia="Times New Roman" w:cs="Times New Roman"/>
                  </w:rPr>
                  <m:t>(</m:t>
                </m:r>
                <m:r>
                  <w:rPr>
                    <w:rFonts w:ascii="Times New Roman" w:hAnsi="Times New Roman" w:eastAsia="Times New Roman" w:cs="Times New Roman"/>
                  </w:rPr>
                  <m:t>ξ</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Measurement/control variables and implementation settings used by the RoCBF-SF safety filter in the fifth-order CCS benchmark and plant implementation.</w:t>
      </w:r>
    </w:p>
    <w:tbl>
      <w:tblPr>
        <w:tblStyle w:val="Table"/>
        <w:tblW w:type="dxa" w:w="8500"/>
        <w:tblLook w:firstRow="1" w:lastRow="0" w:firstColumn="0" w:lastColumn="0" w:noHBand="0" w:noVBand="0" w:val="0020"/>
        <w:tblCaption w:val="Table 1. Measurement/control variables and implementation settings used by the RoCBF-SF safety filter in the fifth-order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State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Five-state nominal predictor used to construct the benchmark dynamics and HOCBF rows.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Measured constrained outputs used by both benchmark and plant GPs; all five states and three proposed controls remain inputs to the nominal one-step predictor.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Input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Coal feed, feedwater flow, and turbine valve opening; QP optimizes the deviation command</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v</m:t>
              </m:r>
            </m:oMath>
            <w:r>
              <w:rPr>
                <w:rFonts w:ascii="Times New Roman" w:hAnsi="Times New Roman" w:eastAsia="Times New Roman" w:cs="Times New Roman"/>
                <w:sz w:val="18"/>
                <w:szCs w:val="18"/>
              </w:rPr>
              <w:t xml:space="preserv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Pressure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13–24 MPa;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Active heat-absorption safety constraint.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Load-following and turbine-output safety constraint around the active dispatch target.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mean-corrected HOCBF constraints with the correct relative degree.</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actuator command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input optimized by the safety filter. 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actuator command. The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deviation-input form. The term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five states and all three control deviations; fuel, feedwater, and turbine-valve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six scalar safety barriers used in the benchmark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13</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24</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2670</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2830</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ind w:firstLine="420"/>
      </w:pPr>
      <w:r>
        <w:rPr>
          <w:rFonts w:ascii="Times New Roman" w:hAnsi="Times New Roman" w:eastAsia="Times New Roman" w:cs="Times New Roman"/>
          <w:sz w:val="20"/>
          <w:szCs w:val="20"/>
        </w:rPr>
        <w:t xml:space="preserve">Pressure barriers use relative degree two, while separator-enthalpy and power barriers use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r</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w:rPr>
            <w:rFonts w:ascii="Times New Roman" w:hAnsi="Times New Roman" w:eastAsia="Times New Roman" w:cs="Times New Roman"/>
          </w:rPr>
          <m:t>r</m:t>
        </m:r>
      </m: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exact-model rows in deviation-input form,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This preserves the bookkeeping between pressure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and enthalpy/power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constraints while keeping the QP decision variable equal to</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 selected margin through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physical actuator command is then reconstructed 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2</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ind w:firstLine="420"/>
      </w:pPr>
      <w:r>
        <w:rPr>
          <w:rFonts w:ascii="Times New Roman" w:hAnsi="Times New Roman" w:eastAsia="Times New Roman" w:cs="Times New Roman"/>
          <w:sz w:val="20"/>
          <w:szCs w:val="20"/>
          <w:highlight w:val="yellow"/>
        </w:rPr>
        <w:t xml:space="preserve">The three margin relations above define the quantity scaled by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online QP. 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m:rPr>
                <m:sty m:val="p"/>
              </m:rP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sup</m:t>
            </m:r>
          </m:e>
          <m:sub>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u</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ℓ</m:t>
            </m:r>
            <m:r>
              <m:rPr>
                <m:sty m:val="p"/>
              </m:rPr>
              <w:rPr>
                <w:rFonts w:ascii="Times New Roman" w:hAnsi="Times New Roman" w:eastAsia="Times New Roman" w:cs="Times New Roman"/>
              </w:rPr>
              <m:t>=</m:t>
            </m:r>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ℓ</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with the empty product equal to one; thus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pressure barriers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The resulting HOCBF constraint 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barriers in Eq. </w:t>
      </w:r>
      <w:r>
        <w:rPr>
          <w:rFonts w:ascii="Times New Roman" w:hAnsi="Times New Roman" w:eastAsia="Times New Roman" w:cs="Times New Roman"/>
          <w:i/>
          <w:iCs/>
          <w:sz w:val="20"/>
          <w:szCs w:val="20"/>
          <w:highlight w:val="yellow"/>
        </w:rPr>
        <w:t xml:space="preserve">(6)</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are continuously differentiable to the required HOCBF order, and their relative degrees are known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i/>
          <w:iCs/>
          <w:sz w:val="20"/>
          <w:szCs w:val="20"/>
          <w:highlight w:val="yellow"/>
        </w:rPr>
        <w:t xml:space="preserve">). 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(11)</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m:oMath>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w:t>
      </w:r>
      <w:r>
        <w:rPr>
          <w:rFonts w:ascii="Times New Roman" w:hAnsi="Times New Roman" w:eastAsia="Times New Roman" w:cs="Times New Roman"/>
          <w:i/>
          <w:iCs/>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highlight w:val="yellow"/>
        </w:rPr>
        <w:t xml:space="preserve">Proof.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 obtain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and then applies the HOCBF forward-invariance result to the tightened QP. 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highlight w:val="yellow"/>
        </w:rPr>
        <w:t xml:space="preserve"> </w:t>
      </w:r>
      <m:oMath>
        <m:r>
          <m:rPr>
            <m:scr m:val="script"/>
            <m:sty m:val="p"/>
          </m:rP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i.e., the nominal HOCBF constraint with GP mean correction only. No robustness margin is applied beyond the mean correction itself.</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The QP enforces the full implemented compositional margin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 Values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highlight w:val="yellow"/>
        </w:rPr>
        <w:t xml:space="preserve">The benchmark is a fifth-order nonlinear model of the boiler-turbine coordinated control loop of an ultra-supercritical power unit with state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three control inputs. The enforced limits are pressure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13–24 MPa), separator enthalpy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2670–2830 kJ/kg), and generator active-power tracking around the dispatch target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20"/>
          <w:szCs w:val="20"/>
          <w:highlight w:val="yellow"/>
        </w:rPr>
        <w:t xml:space="preserve"> MW).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the filter use the same fixed input matrix, so mismatch enters through drift residuals. The finite rollouts do not by themselves verify the theorem’s uniform residual and derivative-bound assumptions.</w:t>
      </w:r>
    </w:p>
    <w:p>
      <w:pPr>
        <w:pStyle w:val="3"/>
        <w:jc w:val="left"/>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extended power/fuel-delay dynamics of the fifth-order model.</w:t>
      </w:r>
    </w:p>
    <w:p>
      <w:pPr>
        <w:pStyle w:val="3"/>
        <w:jc w:val="left"/>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Each method-condition cell contains five independent 500-sample rollouts (2500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rollout conditions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same six process constraints, a stabilized linear prediction model,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Every one of the 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NMPC solves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converged and passed a</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prediction-constraint residual check.</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R</m:t>
                    </m:r>
                  </m:e>
                  <m:sub>
                    <m:r>
                      <m:rPr>
                        <m:sty m:val="p"/>
                      </m:rPr>
                      <w:rPr>
                        <w:rFonts w:ascii="Times New Roman" w:hAnsi="Times New Roman" w:eastAsia="Times New Roman" w:cs="Times New Roman"/>
                      </w:rPr>
                      <m:t>v</m:t>
                    </m:r>
                    <m:r>
                      <m:rPr>
                        <m:sty m:val="p"/>
                      </m:rPr>
                      <w:rPr>
                        <w:rFonts w:ascii="Times New Roman" w:hAnsi="Times New Roman" w:eastAsia="Times New Roman" w:cs="Times New Roman"/>
                      </w:rPr>
                      <m:t>i</m:t>
                    </m:r>
                    <m:r>
                      <m:rPr>
                        <m:sty m:val="p"/>
                      </m:rPr>
                      <w:rPr>
                        <w:rFonts w:ascii="Times New Roman" w:hAnsi="Times New Roman" w:eastAsia="Times New Roman" w:cs="Times New Roman"/>
                      </w:rPr>
                      <m:t>o</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f>
                  <m:fPr>
                    <m:type m:val="bar"/>
                  </m:fPr>
                  <m:num>
                    <m:nary>
                      <m:naryPr>
                        <m:chr m:val="∑"/>
                        <m:limLoc m:val="undOvr"/>
                        <m:subHide m:val="off"/>
                        <m:supHide m:val="off"/>
                      </m:naryPr>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up>
                      <m:e>
                        <m:nary>
                          <m:naryPr>
                            <m:chr m:val="∑"/>
                            <m:limLoc m:val="undOvr"/>
                            <m:subHide m:val="off"/>
                            <m:supHide m:val="off"/>
                          </m:naryPr>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nary>
                              <m:naryPr>
                                <m:chr m:val="∑"/>
                                <m:limLoc m:val="undOvr"/>
                                <m:subHide m:val="off"/>
                                <m:supHide m:val="off"/>
                              </m:naryPr>
                              <m:sub>
                                <m: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r>
                                  <m:rPr>
                                    <m:sty m:val="b"/>
                                  </m:rPr>
                                  <w:rPr>
                                    <w:rFonts w:ascii="Times New Roman" w:hAnsi="Times New Roman" w:eastAsia="Times New Roman" w:cs="Times New Roman"/>
                                  </w:rPr>
                                  <m:t>1</m:t>
                                </m:r>
                              </m:e>
                            </m:nary>
                          </m:e>
                        </m:nary>
                      </m:e>
                    </m:nary>
                    <m:r>
                      <m:rPr>
                        <m:sty m:val="p"/>
                      </m:rPr>
                      <w:rPr>
                        <w:rFonts w:ascii="Times New Roman" w:hAnsi="Times New Roman" w:eastAsia="Times New Roman" w:cs="Times New Roman"/>
                      </w:rPr>
                      <m:t>{</m:t>
                    </m:r>
                    <m:limLow>
                      <m:e>
                        <m:r>
                          <m:rPr>
                            <m:sty m:val="p"/>
                          </m:rPr>
                          <w:rPr>
                            <w:rFonts w:ascii="Times New Roman" w:hAnsi="Times New Roman" w:eastAsia="Times New Roman" w:cs="Times New Roman"/>
                          </w:rPr>
                          <m:t>min</m:t>
                        </m:r>
                      </m:e>
                      <m:lim>
                        <m:r>
                          <w:rPr>
                            <w:rFonts w:ascii="Times New Roman" w:hAnsi="Times New Roman" w:eastAsia="Times New Roman" w:cs="Times New Roman"/>
                          </w:rPr>
                          <m:t>j</m:t>
                        </m:r>
                      </m:lim>
                    </m:limLow>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t</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num>
                  <m:den>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den>
                </m:f>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A single-rollout diagnostic such as 4/300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reported only for that diagnostic rollout.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under a fixed upstream deviation proposal, computed by Eq. </w:t>
      </w:r>
      <w:r>
        <w:rPr>
          <w:rFonts w:ascii="Times New Roman" w:hAnsi="Times New Roman" w:eastAsia="Times New Roman" w:cs="Times New Roman"/>
          <w:sz w:val="20"/>
          <w:szCs w:val="20"/>
          <w:highlight w:val="yellow"/>
        </w:rPr>
        <w:t xml:space="preserve">(12)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Each cell aggregates five 500-sample rollouts, i.e., 2500 controller samples. The full implemented-margin row tests the conservative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under actuator limits; it is not the recommended commissioned operating point.</w:t>
      </w:r>
    </w:p>
    <w:tbl>
      <w:tblPr>
        <w:tblStyle w:val="Table"/>
        <w:tblW w:type="dxa" w:w="8500"/>
        <w:tblLook w:firstRow="1" w:lastRow="0" w:firstColumn="0" w:lastColumn="0" w:noHBand="0" w:noVBand="0" w:val="0020"/>
        <w:tblCaption w:val="Table 2. Primary \Delta g=0 validation: sample-level constraint violation rate (%) at controller instants under a fixed upstream deviation proposal, computed by Eq. [eq:sample_violation_rate] with a raw-margin numerical tolerance of 10^{-2}. Each cell aggregates five 500-sample rollouts, i.e., 2500 controller samples. The full implemented-margin row tests the conservative \epsilon_\kappa=1.0 endpoint under actuator limits; it is not the recommended commissioned operating poi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4.48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0.40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GP-HOCBF mean-only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commissioned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in S3; 0 otherwise)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16.76</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unfiltered proposal violates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of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perturbation samples. Correct relative degree removes all 112 nominal violations but does not compensate drift mismatch: no-GP HOCBF retains the same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perturbation-sample violations. GP mean correction reduces this count to 36/15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all in S3. The scenario-wise commissioned row applies the independently 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S3 and 0 otherwise, giving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across the nominal and six mismatch conditions. Each condition is a separate offline commissioning regime with its own frozen scenario-specific GP; this row compares commissioned operating points across prescribed residual regimes rather than switching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 observing the true scenario online. NMPC is also effective, with 35/17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violations and no solver failure, but does not eliminate the short boundary transients in the six mismatch cases.</w:t>
      </w:r>
    </w:p>
    <w:p>
      <w:pPr>
        <w:pStyle w:val="3"/>
        <w:jc w:val="left"/>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The endpoint remains safe in nominal, S1, S2, S5, and S6, but it produces 419 S3 violations and 12 S4 violations when the actuator-bounded robust QP loses feasibility. This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which requires both full-row feasibility and independently valid residual and derivative bounds.</w:t>
      </w:r>
    </w:p>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revised experiment records every QP attempt, rejected candidate, fallback, intervention, and normalized residual. The commissioned row has four rejected initial-step QPs but no ensuing state-limit violation; the full implemented-margin endpoint rejects 628 of 2500 QPs and reverts to the upstream command in those cycles.</w:t>
      </w:r>
    </w:p>
    <w:p>
      <w:pPr>
        <w:jc w:val="left"/>
        <w:spacing w:before="80" w:after="120"/>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800"/>
        <w:gridCol w:w="1675"/>
        <w:gridCol w:w="1675"/>
        <w:gridCol w:w="1675"/>
        <w:gridCol w:w="1675"/>
      </w:tblGrid>
      <w:tr>
        <w:trPr>
          <w:tblHeader w:val="on"/>
        </w:trPr>
        <w:tc>
          <w:tcPr>
            <w:tcW w:w="1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1682 of 2500 (67.28%)</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4.48%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GP-HOCBF mean-only</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36 of 2500 (1.44%)</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67.08%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67.12%</w:t>
            </w:r>
          </w:p>
        </w:tc>
      </w:tr>
      <w:tr>
        <w:tc>
          <w:tcPr>
            <w:tcW w:w="1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419 of 2500 (16.76%)</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51.12%</w:t>
            </w:r>
          </w:p>
        </w:tc>
      </w:tr>
    </w:tbl>
    <w:p>
      <w:pPr>
        <w:pStyle w:val="3"/>
        <w:jc w:val="left"/>
        <w:ind w:firstLine="420"/>
      </w:pPr>
      <w:r>
        <w:rPr>
          <w:rFonts w:ascii="Times New Roman" w:hAnsi="Times New Roman" w:eastAsia="Times New Roman" w:cs="Times New Roman"/>
          <w:sz w:val="20"/>
          <w:szCs w:val="20"/>
          <w:highlight w:val="yellow"/>
        </w:rPr>
        <w:t xml:space="preserve">The results indicate a mechanism hierarchy: correct HOCBF structure handles nominal constraint geometry, GP residual correction is the principal mismatch-compensation mechanism,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finite-sample feasibility–safety trade-off.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91858"/>
            <ns2:effectExtent b="0" l="0" r="0" t="0"/>
            <ns2:docPr descr="" title="" id="49" name="Picture"/>
            <ns3:graphic>
              <ns3:graphicData uri="http://schemas.openxmlformats.org/drawingml/2006/picture">
                <ns4:pic>
                  <ns4:nvPicPr>
                    <ns4:cNvPr descr="figures/Figure_6_process_response.png" id="50" name="Picture"/>
                    <ns4:cNvPicPr>
                      <ns3:picLocks noChangeArrowheads="1" noChangeAspect="1"/>
                    </ns4:cNvPicPr>
                  </ns4:nvPicPr>
                  <ns4:blipFill>
                    <ns3:blip ns5:embed="rId48"/>
                    <ns3:stretch>
                      <ns3:fillRect/>
                    </ns3:stretch>
                  </ns4:blipFill>
                  <ns4:spPr bwMode="auto">
                    <ns3:xfrm>
                      <ns3:off x="0" y="0"/>
                      <ns3:ext cx="5006975" cy="339185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mechanism for representative seed 3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Enthalpy safety margin and normalized QP correction over the 45–135 s interval containing the onset and largest excursion. The shaded region marks violation of the lower enthalpy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enthalpy margin and sample-level violation rate; the symmetric-log horizontal scale resolves the two near-zero margins while retaining the large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counting tolerance defined in Eq. </w:t>
      </w:r>
      <w:r>
        <w:rPr>
          <w:rFonts w:ascii="Times New Roman" w:hAnsi="Times New Roman" w:eastAsia="Times New Roman" w:cs="Times New Roman"/>
          <w:sz w:val="20"/>
          <w:szCs w:val="20"/>
          <w:highlight w:val="yellow"/>
        </w:rPr>
        <w:t xml:space="preserve">(12)</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In this representative rollout, the no-GP HOCBF records 203/300 violations, GP mean correction reduces the count to 30/300, and the calibrated setting records 0/300. The corresponding minimum enthalpy margins are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-51.993</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-0.01996</w:t>
      </w:r>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+0.01028</w:t>
      </w:r>
      <w:r>
        <w:rPr>
          <w:rFonts w:ascii="Times New Roman" w:hAnsi="Times New Roman" w:eastAsia="Times New Roman" w:cs="Times New Roman"/>
          <w:sz w:val="20"/>
          <w:szCs w:val="20"/>
          <w:highlight w:val="yellow"/>
        </w:rPr>
        <w:t xml:space="preserve"> kJ/kg.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enthalpy bottleneck directly in a representative S3 rollout. HOCBF without GP correction produces 203/300 violating samples and a minimum enthalpy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-51.993</w:t>
      </w:r>
      <w:r>
        <w:rPr>
          <w:rFonts w:ascii="Times New Roman" w:hAnsi="Times New Roman" w:eastAsia="Times New Roman" w:cs="Times New Roman"/>
          <w:sz w:val="20"/>
          <w:szCs w:val="20"/>
          <w:highlight w:val="yellow"/>
        </w:rPr>
        <w:t xml:space="preserve"> kJ/kg. GP mean correction limits the excursion 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-0.01996</w:t>
      </w:r>
      <w:r>
        <w:rPr>
          <w:rFonts w:ascii="Times New Roman" w:hAnsi="Times New Roman" w:eastAsia="Times New Roman" w:cs="Times New Roman"/>
          <w:sz w:val="20"/>
          <w:szCs w:val="20"/>
          <w:highlight w:val="yellow"/>
        </w:rPr>
        <w:t xml:space="preserve"> kJ/kg but still leaves 30 samples below the stated numerical tolerance, whereas the calibrated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margin keeps the minimum positive at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+0.01028</w:t>
      </w:r>
      <w:r>
        <w:rPr>
          <w:rFonts w:ascii="Times New Roman" w:hAnsi="Times New Roman" w:eastAsia="Times New Roman" w:cs="Times New Roman"/>
          <w:sz w:val="20"/>
          <w:szCs w:val="20"/>
          <w:highlight w:val="yellow"/>
        </w:rPr>
        <w:t xml:space="preserve"> kJ/kg. The correction and event panels show that this change is produced by sustained QP intervention rather than by a different upstream proposal.</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3" name="Picture"/>
            <ns3:graphic>
              <ns3:graphicData uri="http://schemas.openxmlformats.org/drawingml/2006/picture">
                <ns4:pic>
                  <ns4:nvPicPr>
                    <ns4:cNvPr descr="figures/Figure_8_model_mismatch.png" id="54" name="Picture"/>
                    <ns4:cNvPicPr>
                      <ns3:picLocks noChangeArrowheads="1" noChangeAspect="1"/>
                    </ns4:cNvPicPr>
                  </ns4:nvPicPr>
                  <ns4:blipFill>
                    <ns3:blip ns5:embed="rId52"/>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enthalpy-margin responses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12.967</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envelope, not a separately established uniform GP confidence set.</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For the same state and zero-deviation input, the nominal model predicts a next-step enthalpy margin of 28.0 kJ/kg, whereas the S3 plant drops 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-12.0</w:t>
      </w:r>
      <w:r>
        <w:rPr>
          <w:rFonts w:ascii="Times New Roman" w:hAnsi="Times New Roman" w:eastAsia="Times New Roman" w:cs="Times New Roman"/>
          <w:sz w:val="20"/>
          <w:szCs w:val="20"/>
          <w:highlight w:val="yellow"/>
        </w:rPr>
        <w:t xml:space="preserve"> kJ/kg. The pressure and enthalpy panels show that this discrepancy is structured and learnable: the GP posterior mean tracks the realized drift residual, and the remaining error stays inside the implemented commissioning envelope in this diagnostic. The filter therefore corrects a measured residual structure before applying the commissioned margin.</w:t>
      </w:r>
    </w:p>
    <w:p>
      <w:pPr>
        <w:jc w:val="center"/>
        <w:keepNext/>
      </w:pPr>
      <w:r>
        <w:rPr>
          <w:rFonts w:ascii="Times New Roman" w:hAnsi="Times New Roman" w:eastAsia="Times New Roman" w:cs="Times New Roman"/>
          <w:sz w:val="20"/>
          <w:szCs w:val="20"/>
        </w:rPr>
        <w:drawing>
          <ns2:inline>
            <ns2:extent cx="5006975" cy="1973008"/>
            <ns2:effectExtent b="0" l="0" r="0" t="0"/>
            <ns2:docPr descr="" title="" id="57" name="Picture"/>
            <ns3:graphic>
              <ns3:graphicData uri="http://schemas.openxmlformats.org/drawingml/2006/picture">
                <ns4:pic>
                  <ns4:nvPicPr>
                    <ns4:cNvPr descr="figures/Figure_2.png" id="58" name="Picture"/>
                    <ns4:cNvPicPr>
                      <ns3:picLocks noChangeArrowheads="1" noChangeAspect="1"/>
                    </ns4:cNvPicPr>
                  </ns4:nvPicPr>
                  <ns4:blipFill>
                    <ns3:blip ns5:embed="rId56"/>
                    <ns3:stretch>
                      <ns3:fillRect/>
                    </ns3:stretch>
                  </ns4:blipFill>
                  <ns4:spPr bwMode="auto">
                    <ns3:xfrm>
                      <ns3:off x="0" y="0"/>
                      <ns3:ext cx="5006975" cy="197300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412/15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(2.747%). The smallest setting passing both gates is 0.02, with 19/15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(0.127%) and 20/15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(0.133%). After fixing this value, held-out seeds 3–4 give 66/50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(0.132%) and 72/50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(0.144%), with both individual seeds below the same gates. The Wilson values in the Supplemental Material are descriptive Bernoulli-reference bounds because adjacent controller samples are serially correlated. These results define a finite-sample operating point, not a zero-violation guarantee.</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62" name="Picture"/>
            <ns3:graphic>
              <ns3:graphicData uri="http://schemas.openxmlformats.org/drawingml/2006/picture">
                <ns4:pic>
                  <ns4:nvPicPr>
                    <ns4:cNvPr descr="figures/Figure_GP_data_sensitivity.png" id="63" name="Picture"/>
                    <ns4:cNvPicPr>
                      <ns3:picLocks noChangeArrowheads="1" noChangeAspect="1"/>
                    </ns4:cNvPicPr>
                  </ns4:nvPicPr>
                  <ns4:blipFill>
                    <ns3:blip ns5:embed="rId61"/>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remains between 0.00184 and 0.00243, interval coverage is 100%,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0/2500 violations with 0.16% QP rejection at each size. Controlled label corruption raises NRMSE by approximately two orders of magnitude and drives QP rejection to 95.64–99.88%; fallback to the upstream proposal then produces 64.96–67.20% violation. These deliberately corrupted models fail the pre-enable quality and feasibility gate.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highlight w:val="yellow"/>
        </w:rPr>
        <w:t>4.4 Real-Time Computation</w:t>
      </w:r>
    </w:p>
    <w:p>
      <w:pPr>
        <w:pStyle w:val="11"/>
        <w:jc w:val="left"/>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288</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8" name="Picture"/>
            <ns3:graphic>
              <ns3:graphicData uri="http://schemas.openxmlformats.org/drawingml/2006/picture">
                <ns4:pic>
                  <ns4:nvPicPr>
                    <ns4:cNvPr descr="figures/Figure_9_production_historian.png" id="69" name="Picture"/>
                    <ns4:cNvPicPr>
                      <ns3:picLocks noChangeArrowheads="1" noChangeAspect="1"/>
                    </ns4:cNvPicPr>
                  </ns4:nvPicPr>
                  <ns4:blipFill>
                    <ns3:blip ns5:embed="rId67"/>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0.986</m:t>
        </m:r>
      </m:oMath>
      <w:r>
        <w:rPr>
          <w:rFonts w:ascii="Times New Roman" w:hAnsi="Times New Roman" w:eastAsia="Times New Roman" w:cs="Times New Roman"/>
          <w:sz w:val="20"/>
          <w:szCs w:val="20"/>
          <w:highlight w:val="yellow"/>
        </w:rPr>
        <w:t xml:space="preserve">) and fuel flow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0.980</m:t>
        </m:r>
      </m: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historical pre-retrofit windows from 2024–2025 and post-retrofit windows after the first 24 h of restart, retaining loaded operation and matching by load trajectory. The audit retained 1950 two-hour windows during loaded operation. Across this matched-window cohort, the period-median pressure setpoint-residual standard deviation and 95th-percentile absolute residual decrease by 12.6% and 23.4%, respectively. The representative pair below uses the original 5 s historian samples, with historian files, source timestamps, and metric JSON preserved in the evidence package. Because routine maintenance occurred during the same outage, the plant-response comparison is interpreted as observational evidence associated with the documented retrofit under matched load movement, rather than as a standalone estimate of the algorithm’s causal effect.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72" name="Picture"/>
            <ns3:graphic>
              <ns3:graphicData uri="http://schemas.openxmlformats.org/drawingml/2006/picture">
                <ns4:pic>
                  <ns4:nvPicPr>
                    <ns4:cNvPr descr="figures/Figure_10_production_retrofit_evidence.png" id="73" name="Picture"/>
                    <ns4:cNvPicPr>
                      <ns3:picLocks noChangeArrowheads="1" noChangeAspect="1"/>
                    </ns4:cNvPicPr>
                  </ns4:nvPicPr>
                  <ns4:blipFill>
                    <ns3:blip ns5:embed="rId71"/>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76" name="Picture"/>
            <ns3:graphic>
              <ns3:graphicData uri="http://schemas.openxmlformats.org/drawingml/2006/picture">
                <ns4:pic>
                  <ns4:nvPicPr>
                    <ns4:cNvPr descr="figures/Figure_11_controller_log_validation.png" id="77" name="Picture"/>
                    <ns4:cNvPicPr>
                      <ns3:picLocks noChangeArrowheads="1" noChangeAspect="1"/>
                    </ns4:cNvPicPr>
                  </ns4:nvPicPr>
                  <ns4:blipFill>
                    <ns3:blip ns5:embed="rId75"/>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no fallback or saturation event.</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072"/>
        <w:gridCol w:w="1072"/>
        <w:gridCol w:w="1072"/>
        <w:gridCol w:w="1071"/>
        <w:gridCol w:w="1071"/>
        <w:gridCol w:w="1071"/>
        <w:gridCol w:w="1071"/>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Local time</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QP/recovery status</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29 Jun 2026 19:00–20:59:55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1397 optimal; 43 recovered; 1 fuel-sat.</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30 Jun 2026 14:00–15:59:55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1440 optimal; none</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26 Jun 2026 23:00–00:59:55</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1440 optimal; none</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highlight w:val="yellow"/>
        </w:rPr>
        <w:t>4.6 Stage-Gated Commissioning Protocol</w:t>
      </w:r>
    </w:p>
    <w:p>
      <w:pPr>
        <w:pStyle w:val="11"/>
        <w:jc w:val="left"/>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Gate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Minimum evidence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Decision rule</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Residual and margin calibration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Pre-enable validation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Enable online authority only after GP, QP, fallback, and alarm logic pass supervised tests.</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Execution logging</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and boundary monitoring</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highlight w:val="yellow"/>
        </w:rPr>
        <w:t xml:space="preserve">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the contributions of barrier structure, residual learning, and margin selection. Correct-relative-degree HOCBF removes nominal violations but leaves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mismatch-sample violations without a GP. Mean correction reduces that count to 36. Across separately commissioned scenario-specific GP models, the selected settings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S3 and 0 otherwise) give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in the primary sweep; held-out S3 seeds give 66/50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72/50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Conversely, the full implemented-margin endpoint can lose feasibility under actuator limits. These numerical settings are finite-sample commissioning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commissioning multiplier does not establish those conditions by itself.</w:t>
      </w:r>
    </w:p>
    <w:p>
      <w:pPr>
        <w:pStyle w:val="3"/>
        <w:jc w:val="left"/>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matched-window cohort and representative 5 s pair associate the retrofit with lower pressure-error dispersion under comparable load movement, while the concurrent outage maintenance prevents attributing the entire change to the safety filter alone. Low-to-mid-load historian windows establish operating context, and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deliberately excluded from the full-row certificate claim.</w:t>
      </w:r>
    </w:p>
    <w:p>
      <w:pPr>
        <w:pStyle w:val="3"/>
        <w:jc w:val="left"/>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Commissioning-Calibrated GP-HOCBF Safety Filtering for Ultra-Supercritical Boiler-Turbine Control under Model Mismatch</dc:title>
  <dc:creator/>
  <cp:keywords/>
  <dcterms:created xsi:type="dcterms:W3CDTF">2026-09-01T14:42:23Z</dcterms:created>
  <dcterms:modified xsi:type="dcterms:W3CDTF">2026-09-01T14:42:23Z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2" name="abstract">
    <ns1:lpwstr>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 \Delta g=0, the no-GP HOCBF produces 10,756 violations in 15,000 mismatch samples; GP mean correction reduces this count to 36. Across separately commissioned scenario-specific GP models, the selected settings (\epsilon_\kappa=0.02 in S3 and 0 otherwise) give 0/17,500 observed violations in the primary sweep, while an independent 50,000-sample holdout test of the fixed S3 setting reports a 0.132% violation rate and 0.144% QP-rejection rate. The full implemented-margin endpoint \epsilon_\kappa=1 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ns1:lpwstr>
  </custom:property>
  <custom:property fmtid="{D5CDD505-2E9C-101B-9397-08002B2CF9AE}" pid="5" name="date">
    <ns1:lpwstr/>
  </custom:property>
  <custom:property fmtid="{D5CDD505-2E9C-101B-9397-08002B2CF9AE}" pid="6" name="reference-section-title">
    <ns1:lpwstr>References</ns1:lpwstr>
  </custom:property>
</custom:Properties>
</file>