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w="http://schemas.openxmlformats.org/wordprocessingml/2006/main">
  <w:body>
    <w:p>
      <w:pPr>
        <w:jc w:val="center"/>
        <w:spacing w:before="0" w:after="120"/>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60"/>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60"/>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distinction between the formal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and calibrated operating points (</w:t>
      </w:r>
      <w:r>
        <w:rPr>
          <w:rFonts w:ascii="Times New Roman" w:hAnsi="Times New Roman" w:eastAsia="Times New Roman" w:cs="Times New Roman"/>
          <w:rStyle w:val="VerbatimChar"/>
          <w:sz w:val="20"/>
          <w:szCs w:val="20"/>
          <w:color w:val="000000"/>
        </w:rPr>
        <w:t xml:space="preserve">epsilon_kappa &lt; 1</w:t>
      </w:r>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20" w:after="50"/>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 independently valid simultaneous residual event, a valid compositional derivative bound,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robust-QP feasibility. The revised text also distinguishes the implemented commissioning multiplier from an RKHS confidence multiplier containing the required residual-norm and noise-scale terms; the implemented multiplier does not establish the theorem assumptions by itself.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20" w:after="50"/>
      </w:pPr>
      <w:r>
        <w:rPr>
          <w:rFonts w:ascii="Times New Roman" w:hAnsi="Times New Roman" w:eastAsia="Times New Roman" w:cs="Times New Roman"/>
          <w:sz w:val="24"/>
          <w:szCs w:val="24"/>
          <w:color w:val="000000"/>
          <w:b/>
          <w:bCs/>
        </w:rPr>
        <w:t xml:space="preserve">Response to Reviewer 1</w:t>
      </w:r>
    </w:p>
    <w:p>
      <w:pPr>
        <w:jc w:val="left"/>
        <w:spacing w:before="80" w:after="20"/>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80" w:after="20"/>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the implemented commissioning envelope, its multiplier, and the normalized residual ratio without presenting that plotted envelope as a separately proved uniform confidence set.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80" w:after="20"/>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NMPC, GP mean correction, commissioned RoCBF-SF, and the full implemented-margin endpoint. Table 3 separately reports count-level S3 QP rejection, fallback, and intervention.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80" w:after="20"/>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independently selected benchmark value of 0.02. The public controller exports confirm the implemented value and execution outcome, while record-level plant replay remains a 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80" w:after="20"/>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 h_m, N_e]</w:t>
      </w:r>
      <w:r>
        <w:rPr>
          <w:rFonts w:ascii="Times New Roman" w:hAnsi="Times New Roman" w:eastAsia="Times New Roman" w:cs="Times New Roman"/>
          <w:sz w:val="20"/>
          <w:szCs w:val="20"/>
          <w:color w:val="000000"/>
        </w:rPr>
        <w:t xml:space="preserve">, for 135 scalar GP fits in total. Clean models retain held-out NRMSE of 0.00184--0.00243 and 100% interval coverage; the commissioned setting has 0/2500 violations and 0.16% QP rejection at each clean dictionary size. Corruption raises NRMSE by approximately two orders of magnitude and drives QP rejection to 95.64--99.88%, so these models fail the pre-enable quality/feasibility gate. The corruption levels are explicitly identified as synthetic fault injection, not plant bad-point rates.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80" w:after="20"/>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This selects 0.02. Held-out seeds 3--4 then give 66/50,000 violations (0.132%) and 72/50,000 QP rejections (0.144%) without retuning. The result is described as a finite-sample commissioning point, not a certificate.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80" w:after="20"/>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O(qN^3)</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20" w:after="50"/>
      </w:pPr>
      <w:r>
        <w:rPr>
          <w:rFonts w:ascii="Times New Roman" w:hAnsi="Times New Roman" w:eastAsia="Times New Roman" w:cs="Times New Roman"/>
          <w:sz w:val="24"/>
          <w:szCs w:val="24"/>
          <w:color w:val="000000"/>
          <w:b/>
          <w:bCs/>
        </w:rPr>
        <w:t xml:space="preserve">Response to Reviewer 2</w:t>
      </w:r>
    </w:p>
    <w:p>
      <w:pPr>
        <w:jc w:val="left"/>
        <w:spacing w:before="80" w:after="20"/>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80" w:after="20"/>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value 0.02 and field value 0.1 are intentionally reported as separate commissioning outcomes; the latter passed the plant replay and time-isolated validation procedure, while its record-level replay remains an access-restricted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80" w:after="20"/>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-1e-6</w:t>
      </w:r>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20" w:after="50"/>
      </w:pPr>
      <w:r>
        <w:rPr>
          <w:rFonts w:ascii="Times New Roman" w:hAnsi="Times New Roman" w:eastAsia="Times New Roman" w:cs="Times New Roman"/>
          <w:sz w:val="24"/>
          <w:szCs w:val="24"/>
          <w:color w:val="000000"/>
          <w:b/>
          <w:bCs/>
        </w:rPr>
        <w:t xml:space="preserve">Response to Reviewer 3</w:t>
      </w:r>
    </w:p>
    <w:p>
      <w:pPr>
        <w:jc w:val="left"/>
        <w:spacing w:before="80" w:after="20"/>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The revised manuscript reports 0/17,500 only for the scenario-wise commissioned primary row, which uses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0.02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 S3 and 0 in the other six conditions. Each condition represents a separate offline commissioning regime with its own frozen scenario-specific GP; the row does not switch</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by observing the true scenario online. The held-out S3 test records a nonzero 66/50,000 violation count. Wilson limits are described as descriptive Bernoulli-reference values because controller samples are serially correlated. No finite-sample result is presented as proof of zero violation probability.</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80" w:after="20"/>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 = 1</w:t>
      </w:r>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at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only when the simultaneous residual event, compositional derivative bounds,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QP feasibility are independently established. The numerical</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is therefore called the full implemented-margin endpoint rather than being treated as automatically certified. Benchmark 0.02 and field 0.1 are calibrated operating points supported by empirical safety and feasibility diagnostics; they are not called certified. The method section now gives the standard RKHS-form multiplier with explicit residual-norm and noise-scale terms and separately identifies the fixed multiplier used in the experiments and deployment as an engineering commissioning rule. The theorem is not invoked for the field value, the finite-rollout calibration results, or guarded reduced-QP cycles.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80" w:after="20"/>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The outage included instrument calibration, actuator inspection, combustion-equipment maintenance, and heat-surface cleaning. At the same time, the original PID gains, limits, anti-windup, sliding-pressure curve, coordinated-control logic, and base fuel/feedwater/turbine-valve loops were unchanged; RoCBF-SF was added downstream. The increased air--coal-ratio dispersion is retained and discussed as evidence that the post-retrofit pair was not uniformly easier.</w:t>
      </w:r>
    </w:p>
    <w:p>
      <w:pPr>
        <w:pStyle w:val="3"/>
        <w:jc w:val="left"/>
        <w:spacing w:before="0" w:after="60"/>
      </w:pPr>
      <w:r>
        <w:rPr>
          <w:rFonts w:ascii="Times New Roman" w:hAnsi="Times New Roman" w:eastAsia="Times New Roman" w:cs="Times New Roman"/>
          <w:sz w:val="20"/>
          <w:szCs w:val="20"/>
          <w:color w:val="000000"/>
        </w:rPr>
        <w:t xml:space="preserve">Three new confirmed controller exports extend execution evidence to 480.7--629.7 MW (72.8--95.4% of nameplate). The original low-to-mid-load records are retained only as historian operating context and are not used to claim controller-internal execution. The new exports establish high-load controller execution, but they do not constitute a high-load pre/post causal-performance comparison, and the revision does not claim response improvement at every load. The matched-historian response claim and the controller-execution claim are kept separate.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80" w:after="20"/>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Delta g = 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w:t>
      </w:r>
      <w:r>
        <w:rPr>
          <w:rFonts w:ascii="Times New Roman" w:hAnsi="Times New Roman" w:eastAsia="Times New Roman" w:cs="Times New Roman"/>
          <w:sz w:val="20"/>
          <w:szCs w:val="20"/>
          <w:color w:val="00000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This aligns the experiment with the theorem's input-matrix assumption, while the revised manuscript avoids claiming that finite rollouts verify its separate uniform residual and derivative-bound assumptions. The paper does not claim an actuator-gain-uncertainty certificate; this extension is listed as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80" w:after="20"/>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80" w:after="20"/>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text no longer claims novelty for the generic observation that excessive tightening can cause infeasibility. The contribution is stated more narrowly: an overlay safety filter for mixed-relative-degree boiler--turbine constraints, GP residual-rate correction in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[p_m,h_m,N_e]</w:t>
      </w:r>
      <w:r>
        <w:rPr>
          <w:rFonts w:ascii="Times New Roman" w:hAnsi="Times New Roman" w:eastAsia="Times New Roman" w:cs="Times New Roman"/>
          <w:sz w:val="20"/>
          <w:szCs w:val="20"/>
          <w:color w:val="000000"/>
        </w:rPr>
        <w:t xml:space="preserve">, uncertainty propagation through the HOCBF chain, and a plant-oriented commissioning/fallback procedure. The primary table includes both the simpler GP-mean-only alternative and constrained NMPC. Mean-only correction removes most mismatch violations but leaves 36 S3 violations; the calibrated margin removes them in the primary sweep. NMPC gives 35/17,500 violations and is acknowledged as a strong reference rather than being claimed categorically inferior.</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 2.</w:t>
      </w:r>
    </w:p>
    <w:p>
      <w:pPr>
        <w:jc w:val="left"/>
        <w:spacing w:before="80" w:after="20"/>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80" w:after="20"/>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u</w:t>
      </w:r>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v_prop</w:t>
      </w:r>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Identity/one/ell ambiguities and equation references were checked, and the compositional margin is presented as a numbered 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80" w:after="20"/>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35/17,500 violations and no solver failure. The revision acknowledges that well-tuned MPC is effective and does not claim that RoCBF-SF is universally safer. The overlay's engineering distinction is compatibility with an existing coordinated controller and a one-step downstream projection.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80" w:after="20"/>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 implemented-margin endpoint rejects 628/2500 QPs and records 419 violations, directly linking excessive tightening to actuator-limited infeasibility. The field section separately reports the guarded pressure-low-row recovery and explicitly excludes recovered cycles from the full-row certificate. Actuator box and rate rows are never removable.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80" w:after="20"/>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80" w:after="20"/>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2026-09-01T14:38:23Z</dcterms:created>
  <dcterms:modified xsi:type="dcterms:W3CDTF">2026-09-01T14:38:23Z</dcterms:modified>
</cp:coreProperties>
</file>

<file path=docProps/custom.xml><?xml version="1.0" encoding="utf-8"?>
<Properties xmlns="http://schemas.openxmlformats.org/officeDocument/2006/custom-properties" xmlns:vt="http://schemas.openxmlformats.org/officeDocument/2006/docPropsVTypes"/>
</file>