
<file path=[Content_Types].xml><?xml version="1.0" encoding="utf-8"?>
<ns0:Types xmlns:ns0="http://schemas.openxmlformats.org/package/2006/content-types">
  <ns0:Default Extension="xml" ContentType="application/xml"/>
  <ns0:Default Extension="rels" ContentType="application/vnd.openxmlformats-package.relationships+xml"/>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keepNext/>
      </w:pPr>
      <w:r>
        <w:rPr>
          <w:rFonts w:ascii="Times New Roman" w:hAnsi="Times New Roman" w:eastAsia="Times New Roman" w:cs="Times New Roman"/>
          <w:sz w:val="24"/>
          <w:szCs w:val="24"/>
          <w:b/>
          <w:bCs/>
          <w:i/>
          <w:iCs/>
        </w:rPr>
        <w:t xml:space="preserve">Abstract</w:t>
      </w:r>
    </w:p>
    <w:p>
      <w:pPr>
        <w:pStyle w:val="Abstract"/>
        <w:jc w:val="left"/>
        <w:widowControl/>
        <w:ind w:firstLine="420"/>
      </w:pPr>
      <w:r>
        <w:rPr>
          <w:rFonts w:ascii="Times New Roman" w:hAnsi="Times New Roman" w:eastAsia="Times New Roman" w:cs="Times New Roman"/>
          <w:sz w:val="20"/>
          <w:szCs w:val="20"/>
          <w:highlight w:val="yellow"/>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HOCBF-without-GP controller samples from six mismatch scenarios exceed at least one prespecified constraint tolerance. The predeclared tune/test rule 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under the same per-constraint native-unit tolerances, the resulting GP-mean filter and an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 held-out seeds. By contrast, the implemented full-margin endpoint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widowControl/>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keepNext/>
        <w:keepLines/>
      </w:pPr>
      <w:r>
        <w:rPr>
          <w:rFonts w:ascii="Times New Roman" w:hAnsi="Times New Roman" w:eastAsia="Times New Roman" w:cs="Times New Roman"/>
          <w:sz w:val="24"/>
          <w:szCs w:val="24"/>
          <w:color w:val="000000"/>
          <w:b/>
          <w:bCs/>
          <w:i/>
          <w:iCs/>
        </w:rPr>
        <w:t>1 Introduction</w:t>
      </w:r>
    </w:p>
    <w:p>
      <w:pPr>
        <w:jc w:val="left"/>
        <w:spacing w:before="0" w:after="0"/>
        <w:keepNext/>
        <w:keepLines/>
      </w:pPr>
      <w:r>
        <w:rPr>
          <w:rFonts w:ascii="Times New Roman" w:hAnsi="Times New Roman" w:eastAsia="Times New Roman" w:cs="Times New Roman"/>
          <w:sz w:val="20"/>
          <w:szCs w:val="20"/>
          <w:color w:val="000000"/>
          <w:b/>
          <w:bCs/>
          <w:i/>
          <w:iCs/>
        </w:rPr>
        <w:t>1.1 Industrial Measurement and Control Context</w:t>
      </w:r>
    </w:p>
    <w:p>
      <w:pPr>
        <w:pStyle w:val="11"/>
        <w:jc w:val="left"/>
        <w:widowControl/>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widowControl/>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widowControl/>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keepNext/>
        <w:keepLines/>
      </w:pPr>
      <w:r>
        <w:rPr>
          <w:rFonts w:ascii="Times New Roman" w:hAnsi="Times New Roman" w:eastAsia="Times New Roman" w:cs="Times New Roman"/>
          <w:sz w:val="20"/>
          <w:szCs w:val="20"/>
          <w:color w:val="000000"/>
          <w:b/>
          <w:bCs/>
          <w:i/>
          <w:iCs/>
        </w:rPr>
        <w:t>1.2 Safety-Filter View</w:t>
      </w:r>
    </w:p>
    <w:p>
      <w:pPr>
        <w:pStyle w:val="11"/>
        <w:jc w:val="left"/>
        <w:widowControl/>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widowControl/>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Relative degree must be defined with respect to the controller command rather than an unmeasured actuator state.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After the fuel, feedwater, and turbine-valve dynamics are included, each pressure, separator-enthalpy, and power limit used here has command-level relative degree two.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High-order</w:t>
      </w:r>
      <w:r>
        <w:rPr>
          <w:rFonts w:ascii="Times New Roman" w:hAnsi="Times New Roman" w:eastAsia="Times New Roman" w:cs="Times New Roman"/>
          <w:sz w:val="20"/>
          <w:szCs w:val="20"/>
        </w:rPr>
        <w:t xml:space="preserve">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w:t>
      </w:r>
      <w:r>
        <w:rPr>
          <w:rFonts w:ascii="Times New Roman" w:hAnsi="Times New Roman" w:eastAsia="Times New Roman" w:cs="Times New Roman"/>
          <w:sz w:val="20"/>
          <w:szCs w:val="20"/>
          <w:highlight w:val="yellow"/>
        </w:rPr>
        <w:t xml:space="preserve">therefore</w:t>
      </w:r>
      <w:r>
        <w:rPr>
          <w:rFonts w:ascii="Times New Roman" w:hAnsi="Times New Roman" w:eastAsia="Times New Roman" w:cs="Times New Roman"/>
          <w:sz w:val="20"/>
          <w:szCs w:val="20"/>
        </w:rPr>
        <w:t xml:space="preserve"> needed to preserve the constraint dynamics. </w:t>
      </w:r>
      <w:r>
        <w:rPr>
          <w:rFonts w:ascii="Times New Roman" w:hAnsi="Times New Roman" w:eastAsia="Times New Roman" w:cs="Times New Roman"/>
          <w:sz w:val="20"/>
          <w:szCs w:val="20"/>
          <w:highlight w:val="yellow"/>
        </w:rPr>
        <w:t xml:space="preserve">A first-order CBF baseline would incorrectly assume that the commanded input appears in the first barrier derivative; that structural error is distinct from the plant-model mismatch studied below.</w:t>
      </w:r>
    </w:p>
    <w:p>
      <w:pPr>
        <w:jc w:val="left"/>
        <w:spacing w:before="0" w:after="0"/>
        <w:keepNext/>
        <w:keepLines/>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widowControl/>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widowControl/>
        <w:ind w:firstLine="420"/>
      </w:pPr>
      <w:r>
        <w:rPr>
          <w:rFonts w:ascii="Times New Roman" w:hAnsi="Times New Roman" w:eastAsia="Times New Roman" w:cs="Times New Roman"/>
          <w:sz w:val="20"/>
          <w:szCs w:val="20"/>
        </w:rPr>
        <w:t xml:space="preserve">For boiler-turbine control, the difficulty is structural. </w:t>
      </w:r>
      <w:r>
        <w:rPr>
          <w:rFonts w:ascii="Times New Roman" w:hAnsi="Times New Roman" w:eastAsia="Times New Roman" w:cs="Times New Roman"/>
          <w:sz w:val="20"/>
          <w:szCs w:val="20"/>
          <w:highlight w:val="yellow"/>
        </w:rPr>
        <w:t xml:space="preserve">The selected pressure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separator-enthalpy</w:t>
      </w:r>
      <w:r>
        <w:rPr>
          <w:rFonts w:ascii="Times New Roman" w:hAnsi="Times New Roman" w:eastAsia="Times New Roman" w:cs="Times New Roman"/>
          <w:sz w:val="20"/>
          <w:szCs w:val="20"/>
        </w:rPr>
        <w:t xml:space="preserve">, and power </w:t>
      </w:r>
      <w:r>
        <w:rPr>
          <w:rFonts w:ascii="Times New Roman" w:hAnsi="Times New Roman" w:eastAsia="Times New Roman" w:cs="Times New Roman"/>
          <w:sz w:val="20"/>
          <w:szCs w:val="20"/>
          <w:highlight w:val="yellow"/>
        </w:rPr>
        <w:t xml:space="preserve">limits are command-level relative-degree-two</w:t>
      </w:r>
      <w:r>
        <w:rPr>
          <w:rFonts w:ascii="Times New Roman" w:hAnsi="Times New Roman" w:eastAsia="Times New Roman" w:cs="Times New Roman"/>
          <w:sz w:val="20"/>
          <w:szCs w:val="20"/>
        </w:rPr>
        <w:t xml:space="preserve"> constraints, and residual uncertainty propagates through the HOCBF recursion rather than appearing only at the final constraint row. </w:t>
      </w:r>
      <w:r>
        <w:rPr>
          <w:rFonts w:ascii="Times New Roman" w:hAnsi="Times New Roman" w:eastAsia="Times New Roman" w:cs="Times New Roman"/>
          <w:sz w:val="20"/>
          <w:szCs w:val="20"/>
          <w:highlight w:val="yellow"/>
        </w:rPr>
        <w:t xml:space="preserve">The resulting compositional margin is a candidate tightening, not evidence that a positive margin fraction must improve finite-sample safety.</w:t>
      </w:r>
      <w:r>
        <w:rPr>
          <w:rFonts w:ascii="Times New Roman" w:hAnsi="Times New Roman" w:eastAsia="Times New Roman" w:cs="Times New Roman"/>
          <w:sz w:val="20"/>
          <w:szCs w:val="20"/>
        </w:rPr>
        <w:t xml:space="preserve"> Applying the full </w:t>
      </w:r>
      <w:r>
        <w:rPr>
          <w:rFonts w:ascii="Times New Roman" w:hAnsi="Times New Roman" w:eastAsia="Times New Roman" w:cs="Times New Roman"/>
          <w:sz w:val="20"/>
          <w:szCs w:val="20"/>
          <w:highlight w:val="yellow"/>
        </w:rPr>
        <w:t xml:space="preserve">implemented</w:t>
      </w:r>
      <w:r>
        <w:rPr>
          <w:rFonts w:ascii="Times New Roman" w:hAnsi="Times New Roman" w:eastAsia="Times New Roman" w:cs="Times New Roman"/>
          <w:sz w:val="20"/>
          <w:szCs w:val="20"/>
        </w:rPr>
        <w:t xml:space="preserve"> margin can over-tighten the online QP, reduce actuator authority, or trigger fallback behavior. </w:t>
      </w:r>
      <w:r>
        <w:rPr>
          <w:rFonts w:ascii="Times New Roman" w:hAnsi="Times New Roman" w:eastAsia="Times New Roman" w:cs="Times New Roman"/>
          <w:sz w:val="20"/>
          <w:szCs w:val="20"/>
          <w:highlight w:val="yellow"/>
        </w:rPr>
        <w:t xml:space="preserve">The unresolved commissioning question is therefore whether any positive fraction of that margin is both necessary and feasible for the observed residual structure; a defensible selector must also be permitted to retain the GP-mean-only endpoint.</w:t>
      </w:r>
    </w:p>
    <w:p>
      <w:pPr>
        <w:pStyle w:val="3"/>
        <w:jc w:val="left"/>
        <w:widowControl/>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keepNext/>
        <w:keepLines/>
      </w:pPr>
      <w:r>
        <w:rPr>
          <w:rFonts w:ascii="Times New Roman" w:hAnsi="Times New Roman" w:eastAsia="Times New Roman" w:cs="Times New Roman"/>
          <w:sz w:val="20"/>
          <w:szCs w:val="20"/>
          <w:color w:val="000000"/>
          <w:b/>
          <w:bCs/>
          <w:i/>
          <w:iCs/>
        </w:rPr>
        <w:t>1.4 Contributions</w:t>
      </w:r>
    </w:p>
    <w:p>
      <w:pPr>
        <w:pStyle w:val="11"/>
        <w:jc w:val="left"/>
        <w:widowControl/>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widowControl/>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widowControl/>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widowControl/>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that select the smallest setting passing safety and feasibility gates, including the mean-only endpoint when no positive fraction is supported.</w:t>
      </w:r>
    </w:p>
    <w:p>
      <w:pPr>
        <w:numPr>
          <w:ilvl w:val="0"/>
          <w:numId w:val="1001"/>
        </w:numPr>
        <w:jc w:val="left"/>
        <w:widowControl/>
      </w:pPr>
      <w:r>
        <w:rPr>
          <w:rFonts w:ascii="Times New Roman" w:hAnsi="Times New Roman" w:eastAsia="Times New Roman" w:cs="Times New Roman"/>
          <w:b/>
          <w:bCs/>
          <w:sz w:val="20"/>
          <w:szCs w:val="20"/>
          <w:highlight w:val="yellow"/>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widowControl/>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keepNext/>
        <w:keepLines/>
      </w:pPr>
      <w:r>
        <w:rPr>
          <w:rFonts w:ascii="Times New Roman" w:hAnsi="Times New Roman" w:eastAsia="Times New Roman" w:cs="Times New Roman"/>
          <w:sz w:val="24"/>
          <w:szCs w:val="24"/>
          <w:color w:val="000000"/>
          <w:b/>
          <w:bCs/>
          <w:i/>
          <w:iCs/>
        </w:rPr>
        <w:t>2 Related Work</w:t>
      </w:r>
    </w:p>
    <w:p>
      <w:pPr>
        <w:jc w:val="left"/>
        <w:spacing w:before="0" w:after="0"/>
        <w:keepNext/>
        <w:keepLines/>
      </w:pPr>
      <w:r>
        <w:rPr>
          <w:rFonts w:ascii="Times New Roman" w:hAnsi="Times New Roman" w:eastAsia="Times New Roman" w:cs="Times New Roman"/>
          <w:sz w:val="20"/>
          <w:szCs w:val="20"/>
          <w:color w:val="000000"/>
          <w:b/>
          <w:bCs/>
          <w:i/>
          <w:iCs/>
        </w:rPr>
        <w:t>2.1 Boiler–Turbine Coordinated Control Under Model Mismatch</w:t>
      </w:r>
    </w:p>
    <w:p>
      <w:pPr>
        <w:pStyle w:val="11"/>
        <w:jc w:val="left"/>
        <w:widowControl/>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widowControl/>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keepNext/>
        <w:keepLines/>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widowControl/>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widowControl/>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keepNext/>
        <w:keepLines/>
      </w:pPr>
      <w:r>
        <w:rPr>
          <w:rFonts w:ascii="Times New Roman" w:hAnsi="Times New Roman" w:eastAsia="Times New Roman" w:cs="Times New Roman"/>
          <w:sz w:val="20"/>
          <w:szCs w:val="20"/>
          <w:color w:val="000000"/>
          <w:b/>
          <w:bCs/>
          <w:i/>
          <w:iCs/>
        </w:rPr>
        <w:t>2.3 CBF/HOCBF Under Uncertainty and Feasibility Limits</w:t>
      </w:r>
    </w:p>
    <w:p>
      <w:pPr>
        <w:pStyle w:val="11"/>
        <w:jc w:val="left"/>
        <w:widowControl/>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They are necessary here because actuator dynamics delay the effect of each controller command, making the selected pressure, enthalpy, and power barriers relative degree two at the command interface.</w:t>
      </w:r>
      <w:r>
        <w:rPr>
          <w:rFonts w:ascii="Times New Roman" w:hAnsi="Times New Roman" w:eastAsia="Times New Roman" w:cs="Times New Roman"/>
          <w:sz w:val="20"/>
          <w:szCs w:val="20"/>
        </w:rPr>
        <w:t xml:space="preserv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w:t>
      </w:r>
      <w:r>
        <w:rPr>
          <w:rFonts w:ascii="Times New Roman" w:hAnsi="Times New Roman" w:eastAsia="Times New Roman" w:cs="Times New Roman"/>
          <w:sz w:val="20"/>
          <w:szCs w:val="20"/>
          <w:highlight w:val="yellow"/>
        </w:rPr>
        <w:t xml:space="preserve">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keepNext/>
        <w:keepLines/>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widowControl/>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widowControl/>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w:t>
      </w:r>
      <w:r>
        <w:rPr>
          <w:rFonts w:ascii="Times New Roman" w:hAnsi="Times New Roman" w:eastAsia="Times New Roman" w:cs="Times New Roman"/>
          <w:sz w:val="20"/>
          <w:szCs w:val="20"/>
          <w:highlight w:val="yellow"/>
        </w:rPr>
        <w:t xml:space="preserve">command-level relative-degree-two</w:t>
      </w:r>
      <w:r>
        <w:rPr>
          <w:rFonts w:ascii="Times New Roman" w:hAnsi="Times New Roman" w:eastAsia="Times New Roman" w:cs="Times New Roman"/>
          <w:sz w:val="20"/>
          <w:szCs w:val="20"/>
        </w:rPr>
        <w:t xml:space="preserve"> boiler–turbine </w:t>
      </w:r>
      <w:r>
        <w:rPr>
          <w:rFonts w:ascii="Times New Roman" w:hAnsi="Times New Roman" w:eastAsia="Times New Roman" w:cs="Times New Roman"/>
          <w:sz w:val="20"/>
          <w:szCs w:val="20"/>
          <w:highlight w:val="yellow"/>
        </w:rPr>
        <w:t xml:space="preserve">constraints,</w:t>
      </w:r>
      <w:r>
        <w:rPr>
          <w:rFonts w:ascii="Times New Roman" w:hAnsi="Times New Roman" w:eastAsia="Times New Roman" w:cs="Times New Roman"/>
          <w:sz w:val="20"/>
          <w:szCs w:val="20"/>
        </w:rPr>
        <w:t xml:space="preserve"> DCS deployment, or commissioning diagnostics based on plant historian and controller-log records. </w:t>
      </w:r>
      <w:r>
        <w:rPr>
          <w:rFonts w:ascii="Times New Roman" w:hAnsi="Times New Roman" w:eastAsia="Times New Roman" w:cs="Times New Roman"/>
          <w:sz w:val="20"/>
          <w:szCs w:val="20"/>
          <w:highlight w:val="yellow"/>
        </w:rPr>
        <w:t xml:space="preserve">Because their plants, residual models, online updates, and optimization programs differ from the present setting, a numerical reimplementation would not isolate the source of any performance difference.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We instead hold the proposed command fixed and compare no-GP HOCBF, GP-mean-only HOCBF, and the full compositional-margin endpoint within one actuator-limited model.</w:t>
      </w:r>
    </w:p>
    <w:p>
      <w:pPr>
        <w:pStyle w:val="3"/>
        <w:jc w:val="left"/>
        <w:widowControl/>
        <w:ind w:firstLine="420"/>
      </w:pPr>
      <w:r>
        <w:rPr>
          <w:rFonts w:ascii="Times New Roman" w:hAnsi="Times New Roman" w:eastAsia="Times New Roman" w:cs="Times New Roman"/>
          <w:sz w:val="20"/>
          <w:szCs w:val="20"/>
          <w:highlight w:val="yellow"/>
        </w:rPr>
        <w:t xml:space="preserve">Existing robust CBF and GP-CBF formulations also tend to interpret the uncertainty margin as a certificate-driven tightening term. In actuator-limited process-control loops, however, feasibility, fallback activation, and retained control authority are themselves safety-relevant. The contribution here is not the generic observation that tightening can cause infeasibility, nor a claim that positive tightening is always beneficial. It is an explicit chain-level margin for the command-level HOCBF rows, together with a commissioning procedure that may select zero margin when GP mean correction already passes the prespecified safety and feasibility gates.</w:t>
      </w:r>
    </w:p>
    <w:p>
      <w:pPr>
        <w:jc w:val="left"/>
        <w:spacing w:before="0" w:after="0"/>
        <w:keepNext/>
        <w:keepLines/>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keepNext/>
        <w:keepLines/>
      </w:pPr>
      <w:r>
        <w:rPr>
          <w:rFonts w:ascii="Times New Roman" w:hAnsi="Times New Roman" w:eastAsia="Times New Roman" w:cs="Times New Roman"/>
          <w:sz w:val="20"/>
          <w:szCs w:val="20"/>
          <w:color w:val="000000"/>
          <w:b/>
          <w:bCs/>
          <w:i/>
          <w:iCs/>
        </w:rPr>
        <w:t>3.1 Safety-Filter Workflow and Implementation Settings</w:t>
      </w:r>
    </w:p>
    <w:p>
      <w:pPr>
        <w:pStyle w:val="11"/>
        <w:jc w:val="left"/>
        <w:widowControl/>
        <w:ind w:firstLine="420"/>
      </w:pPr>
      <w:r>
        <w:rPr>
          <w:rFonts w:ascii="Times New Roman" w:hAnsi="Times New Roman" w:eastAsia="Times New Roman" w:cs="Times New Roman"/>
          <w:sz w:val="20"/>
          <w:szCs w:val="20"/>
        </w:rPr>
        <w:t xml:space="preserve">Online operation has three steps: evaluate the GP residual model, build </w:t>
      </w:r>
      <w:r>
        <w:rPr>
          <w:rFonts w:ascii="Times New Roman" w:hAnsi="Times New Roman" w:eastAsia="Times New Roman" w:cs="Times New Roman"/>
          <w:sz w:val="20"/>
          <w:szCs w:val="20"/>
          <w:highlight w:val="yellow"/>
        </w:rPr>
        <w:t xml:space="preserve">the command-level relative-degree-two</w:t>
      </w:r>
      <w:r>
        <w:rPr>
          <w:rFonts w:ascii="Times New Roman" w:hAnsi="Times New Roman" w:eastAsia="Times New Roman" w:cs="Times New Roman"/>
          <w:sz w:val="20"/>
          <w:szCs w:val="20"/>
        </w:rPr>
        <w:t xml:space="preserve">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theorem states the conditions under which the full implemented-margin endpoint yields continuous-time forward invariance.</w:t>
      </w:r>
      <w:r>
        <w:rPr>
          <w:rFonts w:ascii="Times New Roman" w:hAnsi="Times New Roman" w:eastAsia="Times New Roman" w:cs="Times New Roman"/>
          <w:sz w:val="20"/>
          <w:szCs w:val="20"/>
        </w:rPr>
        <w:t xml:space="preserv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w:t>
      </w:r>
      <w:r>
        <w:rPr>
          <w:rFonts w:ascii="Times New Roman" w:hAnsi="Times New Roman" w:eastAsia="Times New Roman" w:cs="Times New Roman"/>
          <w:sz w:val="20"/>
          <w:szCs w:val="20"/>
          <w:highlight w:val="yellow"/>
        </w:rPr>
        <w:t xml:space="preserve">coal-feed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feedwater-flow</w:t>
      </w:r>
      <w:r>
        <w:rPr>
          <w:rFonts w:ascii="Times New Roman" w:hAnsi="Times New Roman" w:eastAsia="Times New Roman" w:cs="Times New Roman"/>
          <w:sz w:val="20"/>
          <w:szCs w:val="20"/>
        </w:rPr>
        <w:t xml:space="preserve">, and turbine-valve </w:t>
      </w:r>
      <w:r>
        <w:rPr>
          <w:rFonts w:ascii="Times New Roman" w:hAnsi="Times New Roman" w:eastAsia="Times New Roman" w:cs="Times New Roman"/>
          <w:sz w:val="20"/>
          <w:szCs w:val="20"/>
          <w:highlight w:val="yellow"/>
        </w:rPr>
        <w:t xml:space="preserve">commands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HOCBF and QP are formulated in normalized deviation coordinates.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(2)</w:t>
            </w:r>
          </w:p>
        </w:tc>
      </w:tr>
    </w:tbl>
    <w:p>
      <w:pPr>
        <w:pStyle w:val="11"/>
        <w:jc w:val="left"/>
        <w:widowControl/>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widowControl/>
        <w:spacing w:before="80" w:after="120"/>
        <w:keepNext/>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highlight w:val="yellow"/>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pressure constraint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widowControl/>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widowControl/>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widowControl/>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widowControl/>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widowControl/>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widowControl/>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w:t>
      </w:r>
      <w:r>
        <w:rPr>
          <w:rFonts w:ascii="Times New Roman" w:hAnsi="Times New Roman" w:eastAsia="Times New Roman" w:cs="Times New Roman"/>
          <w:sz w:val="20"/>
          <w:szCs w:val="20"/>
          <w:highlight w:val="yellow"/>
        </w:rPr>
        <w:t xml:space="preserve">benchmark</w:t>
      </w:r>
      <w:r>
        <w:rPr>
          <w:rFonts w:ascii="Times New Roman" w:hAnsi="Times New Roman" w:eastAsia="Times New Roman" w:cs="Times New Roman"/>
          <w:sz w:val="20"/>
          <w:szCs w:val="20"/>
        </w:rPr>
        <w:t xml:space="preserve"> state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w:t>
      </w:r>
      <w:r>
        <w:rPr>
          <w:rFonts w:ascii="Times New Roman" w:hAnsi="Times New Roman" w:eastAsia="Times New Roman" w:cs="Times New Roman"/>
          <w:sz w:val="20"/>
          <w:szCs w:val="20"/>
          <w:highlight w:val="yellow"/>
        </w:rPr>
        <w:t xml:space="preserve">normalized command</w:t>
      </w:r>
      <w:r>
        <w:rPr>
          <w:rFonts w:ascii="Times New Roman" w:hAnsi="Times New Roman" w:eastAsia="Times New Roman" w:cs="Times New Roman"/>
          <w:sz w:val="20"/>
          <w:szCs w:val="20"/>
        </w:rPr>
        <w:t xml:space="preserve"> deviation optimized by the safety filter. </w:t>
      </w:r>
      <w:r>
        <w:rPr>
          <w:rFonts w:ascii="Times New Roman" w:hAnsi="Times New Roman" w:eastAsia="Times New Roman" w:cs="Times New Roman"/>
          <w:sz w:val="20"/>
          <w:szCs w:val="20"/>
          <w:highlight w:val="yellow"/>
        </w:rPr>
        <w:t xml:space="preserve">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w:t>
      </w:r>
      <w:r>
        <w:rPr>
          <w:rFonts w:ascii="Times New Roman" w:hAnsi="Times New Roman" w:eastAsia="Times New Roman" w:cs="Times New Roman"/>
          <w:sz w:val="20"/>
          <w:szCs w:val="20"/>
        </w:rPr>
        <w:t xml:space="preserve"> The term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widowControl/>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widowControl/>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widowControl/>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w:t>
      </w:r>
      <w:r>
        <w:rPr>
          <w:rFonts w:ascii="Times New Roman" w:hAnsi="Times New Roman" w:eastAsia="Times New Roman" w:cs="Times New Roman"/>
          <w:sz w:val="20"/>
          <w:szCs w:val="20"/>
          <w:highlight w:val="yellow"/>
        </w:rPr>
        <w:t xml:space="preserve">RoCBF-SF</w:t>
      </w:r>
      <w:r>
        <w:rPr>
          <w:rFonts w:ascii="Times New Roman" w:hAnsi="Times New Roman" w:eastAsia="Times New Roman" w:cs="Times New Roman"/>
          <w:sz w:val="20"/>
          <w:szCs w:val="20"/>
        </w:rPr>
        <w:t xml:space="preserve"> are fixed operating points or ablations. </w:t>
      </w:r>
      <w:r>
        <w:rPr>
          <w:rFonts w:ascii="Times New Roman" w:hAnsi="Times New Roman" w:eastAsia="Times New Roman" w:cs="Times New Roman"/>
          <w:sz w:val="20"/>
          <w:szCs w:val="20"/>
          <w:highlight w:val="yellow"/>
        </w:rPr>
        <w:t xml:space="preserve">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 The selector is allowed to return zero when no positive margin fraction improves the prespecified safety and QP-feasibility gates.</w:t>
      </w:r>
    </w:p>
    <w:p>
      <w:pPr>
        <w:jc w:val="left"/>
        <w:spacing w:before="0" w:after="0"/>
        <w:keepNext/>
        <w:keepLines/>
      </w:pPr>
      <w:r>
        <w:rPr>
          <w:rFonts w:ascii="Times New Roman" w:hAnsi="Times New Roman" w:eastAsia="Times New Roman" w:cs="Times New Roman"/>
          <w:sz w:val="20"/>
          <w:szCs w:val="20"/>
          <w:color w:val="000000"/>
          <w:b/>
          <w:bCs/>
          <w:i/>
          <w:iCs/>
        </w:rPr>
        <w:t>3.2 Mismatch Model and HOCBF Constraints</w:t>
      </w:r>
    </w:p>
    <w:p>
      <w:pPr>
        <w:pStyle w:val="11"/>
        <w:jc w:val="left"/>
        <w:widowControl/>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widowControl/>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widowControl/>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widowControl/>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widowControl/>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widowControl/>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w:t>
      </w:r>
      <w:r>
        <w:rPr>
          <w:rFonts w:ascii="Times New Roman" w:hAnsi="Times New Roman" w:eastAsia="Times New Roman" w:cs="Times New Roman"/>
          <w:sz w:val="20"/>
          <w:szCs w:val="20"/>
          <w:highlight w:val="yellow"/>
        </w:rPr>
        <w:t xml:space="preserve">a top-level affine row.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w:t>
      </w:r>
      <w:r>
        <w:rPr>
          <w:rFonts w:ascii="Times New Roman" w:hAnsi="Times New Roman" w:eastAsia="Times New Roman" w:cs="Times New Roman"/>
          <w:sz w:val="20"/>
          <w:szCs w:val="20"/>
          <w:highlight w:val="yellow"/>
        </w:rPr>
        <w:t xml:space="preserve">normalized</w:t>
      </w:r>
      <w:r>
        <w:rPr>
          <w:rFonts w:ascii="Times New Roman" w:hAnsi="Times New Roman" w:eastAsia="Times New Roman" w:cs="Times New Roman"/>
          <w:sz w:val="20"/>
          <w:szCs w:val="20"/>
        </w:rPr>
        <w:t xml:space="preserve">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keepNext/>
        <w:keepLines/>
      </w:pPr>
      <w:r>
        <w:rPr>
          <w:rFonts w:ascii="Times New Roman" w:hAnsi="Times New Roman" w:eastAsia="Times New Roman" w:cs="Times New Roman"/>
          <w:sz w:val="20"/>
          <w:szCs w:val="20"/>
          <w:color w:val="000000"/>
          <w:b/>
          <w:bCs/>
          <w:i/>
          <w:iCs/>
        </w:rPr>
        <w:t>3.3 GP Residual Correction and Compositional Margin</w:t>
      </w:r>
    </w:p>
    <w:p>
      <w:pPr>
        <w:pStyle w:val="11"/>
        <w:jc w:val="left"/>
        <w:widowControl/>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Residual targets are standardized separately for each output.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same frozen transforms are used for training, validation, and inference.</w:t>
      </w:r>
      <w:r>
        <w:rPr>
          <w:rFonts w:ascii="Times New Roman" w:hAnsi="Times New Roman" w:eastAsia="Times New Roman" w:cs="Times New Roman"/>
          <w:sz w:val="20"/>
          <w:szCs w:val="20"/>
        </w:rPr>
        <w:t xml:space="preserve"> Given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widowControl/>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widowControl/>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widowControl/>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widowControl/>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widowControl/>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widowControl/>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w:t>
      </w:r>
      <w:r>
        <w:rPr>
          <w:rFonts w:ascii="Times New Roman" w:hAnsi="Times New Roman" w:eastAsia="Times New Roman" w:cs="Times New Roman"/>
          <w:sz w:val="20"/>
          <w:szCs w:val="20"/>
          <w:highlight w:val="yellow"/>
        </w:rPr>
        <w:t xml:space="preserve">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rPr>
                      <m:t/>
                    </m:r>
                  </m:sup>
                  <m:e>
                    <m:sSub>
                      <m:e>
                        <m:d>
                          <m:dPr>
                            <m:begChr m:val="∥"/>
                            <m:sepChr m:val=""/>
                            <m:endChr m:val="∥"/>
                            <m:grow/>
                          </m:dPr>
                          <m:e>
                            <m:f>
                              <m:fPr>
                                <m:type m:val="bar"/>
                              </m:fPr>
                              <m:num>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widowControl/>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w:t>
      </w:r>
      <w:r>
        <w:rPr>
          <w:rFonts w:ascii="Times New Roman" w:hAnsi="Times New Roman" w:eastAsia="Times New Roman" w:cs="Times New Roman"/>
          <w:sz w:val="20"/>
          <w:szCs w:val="20"/>
          <w:highlight w:val="yellow"/>
        </w:rPr>
        <w:t xml:space="preserve">hence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w:t>
      </w:r>
      <w:r>
        <w:rPr>
          <w:rFonts w:ascii="Times New Roman" w:hAnsi="Times New Roman" w:eastAsia="Times New Roman" w:cs="Times New Roman"/>
          <w:sz w:val="20"/>
          <w:szCs w:val="20"/>
          <w:highlight w:val="yellow"/>
        </w:rPr>
        <w:t xml:space="preserve">each implemented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barrier</w:t>
      </w:r>
      <w:r>
        <w:rPr>
          <w:rFonts w:ascii="Times New Roman" w:hAnsi="Times New Roman" w:eastAsia="Times New Roman" w:cs="Times New Roman"/>
          <w:sz w:val="20"/>
          <w:szCs w:val="20"/>
        </w:rPr>
        <w:t xml:space="preserve">. The resulting </w:t>
      </w:r>
      <w:r>
        <w:rPr>
          <w:rFonts w:ascii="Times New Roman" w:hAnsi="Times New Roman" w:eastAsia="Times New Roman" w:cs="Times New Roman"/>
          <w:sz w:val="20"/>
          <w:szCs w:val="20"/>
          <w:highlight w:val="yellow"/>
        </w:rPr>
        <w:t xml:space="preserve">mean-corrected</w:t>
      </w:r>
      <w:r>
        <w:rPr>
          <w:rFonts w:ascii="Times New Roman" w:hAnsi="Times New Roman" w:eastAsia="Times New Roman" w:cs="Times New Roman"/>
          <w:sz w:val="20"/>
          <w:szCs w:val="20"/>
        </w:rPr>
        <w:t xml:space="preserve"> HOCBF constraint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keepNext/>
        <w:keepLines/>
      </w:pPr>
      <w:r>
        <w:rPr>
          <w:rFonts w:ascii="Times New Roman" w:hAnsi="Times New Roman" w:eastAsia="Times New Roman" w:cs="Times New Roman"/>
          <w:sz w:val="20"/>
          <w:szCs w:val="20"/>
          <w:color w:val="000000"/>
          <w:b/>
          <w:bCs/>
          <w:i/>
          <w:iCs/>
        </w:rPr>
        <w:t>3.4 Commissioning Factor and Implementation Boundary</w:t>
      </w:r>
    </w:p>
    <w:p>
      <w:pPr>
        <w:pStyle w:val="11"/>
        <w:jc w:val="left"/>
        <w:widowControl/>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widowControl/>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highlight w:val="yellow"/>
        </w:rPr>
        <w:t xml:space="preserve">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w:t>
      </w:r>
      <w:r>
        <w:rPr>
          <w:rFonts w:ascii="Times New Roman" w:hAnsi="Times New Roman" w:eastAsia="Times New Roman" w:cs="Times New Roman"/>
          <w:i/>
          <w:iCs/>
          <w:sz w:val="20"/>
          <w:szCs w:val="20"/>
          <w:highlight w:val="yellow"/>
        </w:rPr>
        <w:t xml:space="preserve">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w:t>
      </w:r>
      <w:r>
        <w:rPr>
          <w:rFonts w:ascii="Times New Roman" w:hAnsi="Times New Roman" w:eastAsia="Times New Roman" w:cs="Times New Roman"/>
          <w:sz w:val="20"/>
          <w:szCs w:val="20"/>
          <w:highlight w:val="yellow"/>
        </w:rPr>
        <w:t xml:space="preserve">residual</w:t>
      </w:r>
      <w:r>
        <w:rPr>
          <w:rFonts w:ascii="Times New Roman" w:hAnsi="Times New Roman" w:eastAsia="Times New Roman" w:cs="Times New Roman"/>
          <w:sz w:val="20"/>
          <w:szCs w:val="20"/>
        </w:rPr>
        <w:t xml:space="preserve"> event, </w:t>
      </w:r>
      <w:r>
        <w:rPr>
          <w:rFonts w:ascii="Times New Roman" w:hAnsi="Times New Roman" w:eastAsia="Times New Roman" w:cs="Times New Roman"/>
          <w:sz w:val="20"/>
          <w:szCs w:val="20"/>
          <w:highlight w:val="yellow"/>
        </w:rPr>
        <w:t xml:space="preserve">applies the derivative-bound construction in Lemma S1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invokes</w:t>
      </w:r>
      <w:r>
        <w:rPr>
          <w:rFonts w:ascii="Times New Roman" w:hAnsi="Times New Roman" w:eastAsia="Times New Roman" w:cs="Times New Roman"/>
          <w:sz w:val="20"/>
          <w:szCs w:val="20"/>
        </w:rPr>
        <w:t xml:space="preserve">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and then applies the HOCBF forward-invariance result to the tightened QP. </w:t>
      </w:r>
      <w:r>
        <w:rPr>
          <w:rFonts w:ascii="Times New Roman" w:hAnsi="Times New Roman" w:eastAsia="Times New Roman" w:cs="Times New Roman"/>
          <w:sz w:val="20"/>
          <w:szCs w:val="20"/>
          <w:highlight w:val="yellow"/>
        </w:rPr>
        <w:t xml:space="preserve">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widowControl/>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U</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widowControl/>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widowControl/>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widowControl/>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the full </w:t>
      </w:r>
      <w:r>
        <w:rPr>
          <w:rFonts w:ascii="Times New Roman" w:hAnsi="Times New Roman" w:eastAsia="Times New Roman" w:cs="Times New Roman"/>
          <w:sz w:val="20"/>
          <w:szCs w:val="20"/>
          <w:highlight w:val="yellow"/>
        </w:rPr>
        <w:t xml:space="preserve">implemented</w:t>
      </w:r>
      <w:r>
        <w:rPr>
          <w:rFonts w:ascii="Times New Roman" w:hAnsi="Times New Roman" w:eastAsia="Times New Roman" w:cs="Times New Roman"/>
          <w:sz w:val="20"/>
          <w:szCs w:val="20"/>
        </w:rPr>
        <w:t xml:space="preserve"> compositional margin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widowControl/>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widowControl/>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w:t>
      </w:r>
      <w:r>
        <w:rPr>
          <w:rFonts w:ascii="Times New Roman" w:hAnsi="Times New Roman" w:eastAsia="Times New Roman" w:cs="Times New Roman"/>
          <w:sz w:val="20"/>
          <w:szCs w:val="20"/>
        </w:rPr>
        <w:t xml:space="preserve"> Values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0</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evaluates</w:t>
      </w:r>
      <w:r>
        <w:rPr>
          <w:rFonts w:ascii="Times New Roman" w:hAnsi="Times New Roman" w:eastAsia="Times New Roman" w:cs="Times New Roman"/>
          <w:sz w:val="20"/>
          <w:szCs w:val="20"/>
        </w:rPr>
        <w:t xml:space="preserve"> the </w:t>
      </w:r>
      <w:r>
        <w:rPr>
          <w:rFonts w:ascii="Times New Roman" w:hAnsi="Times New Roman" w:eastAsia="Times New Roman" w:cs="Times New Roman"/>
          <w:sz w:val="20"/>
          <w:szCs w:val="20"/>
          <w:highlight w:val="yellow"/>
        </w:rPr>
        <w:t xml:space="preserve">full implemented-margin</w:t>
      </w:r>
      <w:r>
        <w:rPr>
          <w:rFonts w:ascii="Times New Roman" w:hAnsi="Times New Roman" w:eastAsia="Times New Roman" w:cs="Times New Roman"/>
          <w:sz w:val="20"/>
          <w:szCs w:val="20"/>
        </w:rPr>
        <w:t xml:space="preserve"> endpoint in the actuator-limited benchmark and how the preferred value changes with mismatch structure.</w:t>
      </w:r>
    </w:p>
    <w:p>
      <w:pPr>
        <w:pStyle w:val="3"/>
        <w:jc w:val="left"/>
        <w:widowControl/>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w:t>
      </w:r>
      <w:r>
        <w:rPr>
          <w:rFonts w:ascii="Times New Roman" w:hAnsi="Times New Roman" w:eastAsia="Times New Roman" w:cs="Times New Roman"/>
          <w:sz w:val="20"/>
          <w:szCs w:val="20"/>
          <w:highlight w:val="yellow"/>
        </w:rPr>
        <w:t xml:space="preserve">The S3 sweep therefore tests whether that heterogeneity makes a positive margin fraction useful.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In the present seven-state benchmark it does not: GP mean correction already passes the prespecified safety gate, while positive tightening progressively consumes 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compositional margin remains the explicit candidate tightening and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theorem endpoint; finite-sample commissioning is permitted to select zero.</w:t>
      </w:r>
    </w:p>
    <w:p>
      <w:pPr>
        <w:pStyle w:val="3"/>
        <w:jc w:val="left"/>
        <w:widowControl/>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widowControl/>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partition the intended 180–660 MW commissioning domain; the upper 561–660 MW stratum is a coverage bin and does not imply an exact 660 MW steady hold. Each stratum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widowControl/>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keepNext/>
        <w:keepLines/>
      </w:pPr>
      <w:r>
        <w:rPr>
          <w:rFonts w:ascii="Times New Roman" w:hAnsi="Times New Roman" w:eastAsia="Times New Roman" w:cs="Times New Roman"/>
          <w:sz w:val="24"/>
          <w:szCs w:val="24"/>
          <w:color w:val="000000"/>
          <w:b/>
          <w:bCs/>
          <w:i/>
          <w:iCs/>
        </w:rPr>
        <w:t>4 Experimental Validation</w:t>
      </w:r>
    </w:p>
    <w:p>
      <w:pPr>
        <w:pStyle w:val="11"/>
        <w:jc w:val="left"/>
        <w:widowControl/>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keepNext/>
        <w:keepLines/>
      </w:pPr>
      <w:r>
        <w:rPr>
          <w:rFonts w:ascii="Times New Roman" w:hAnsi="Times New Roman" w:eastAsia="Times New Roman" w:cs="Times New Roman"/>
          <w:sz w:val="20"/>
          <w:szCs w:val="20"/>
          <w:color w:val="000000"/>
          <w:b/>
          <w:bCs/>
          <w:i/>
          <w:iCs/>
        </w:rPr>
        <w:t>4.1 Boiler-Turbine Benchmark and Filter Comparisons</w:t>
      </w:r>
    </w:p>
    <w:p>
      <w:pPr>
        <w:pStyle w:val="11"/>
        <w:jc w:val="left"/>
        <w:widowControl/>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rPr>
        <w:t xml:space="preserve"> The enforced limits are pressure (13–24 MPa), separator enthalpy (2670–2830 kJ/kg), and generator </w:t>
      </w:r>
      <w:r>
        <w:rPr>
          <w:rFonts w:ascii="Times New Roman" w:hAnsi="Times New Roman" w:eastAsia="Times New Roman" w:cs="Times New Roman"/>
          <w:sz w:val="20"/>
          <w:szCs w:val="20"/>
          <w:highlight w:val="yellow"/>
        </w:rPr>
        <w:t xml:space="preserve">active power</w:t>
      </w:r>
      <w:r>
        <w:rPr>
          <w:rFonts w:ascii="Times New Roman" w:hAnsi="Times New Roman" w:eastAsia="Times New Roman" w:cs="Times New Roman"/>
          <w:sz w:val="20"/>
          <w:szCs w:val="20"/>
        </w:rPr>
        <w:t xml:space="preserve"> around the dispatch target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20"/>
          <w:szCs w:val="20"/>
        </w:rPr>
        <w:t xml:space="preserve"> MW). </w:t>
      </w:r>
      <w:r>
        <w:rPr>
          <w:rFonts w:ascii="Times New Roman" w:hAnsi="Times New Roman" w:eastAsia="Times New Roman" w:cs="Times New Roman"/>
          <w:sz w:val="20"/>
          <w:szCs w:val="20"/>
          <w:highlight w:val="yellow"/>
        </w:rPr>
        <w:t xml:space="preserve">All six command-level barriers have relative degree two.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widowControl/>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widowControl/>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Per-constraint numerical tolerances with the common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each barrier’s native unit are used only for counting binary state-limit violations; every comparison is performed on the corresponding unrounded constraint value.</w:t>
      </w:r>
    </w:p>
    <w:p>
      <w:pPr>
        <w:pStyle w:val="3"/>
        <w:jc w:val="left"/>
        <w:widowControl/>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widowControl/>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R</m:t>
                    </m:r>
                  </m:e>
                  <m:sub>
                    <m:r>
                      <m:rPr>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m:rPr>
                    <m:sty m:val="bi"/>
                  </m:rP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f>
                  <m:fPr>
                    <m:type m:val="bar"/>
                  </m:fPr>
                  <m:num>
                    <m:nary>
                      <m:naryPr>
                        <m:chr m:val="∑"/>
                        <m:limLoc m:val="undOvr"/>
                        <m:subHide m:val="off"/>
                        <m:supHide m:val="off"/>
                      </m:naryPr>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up>
                      <m:e>
                        <m:nary>
                          <m:naryPr>
                            <m:chr m:val="∑"/>
                            <m:limLoc m:val="undOvr"/>
                            <m:subHide m:val="off"/>
                            <m:supHide m:val="off"/>
                          </m:naryPr>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nary>
                              <m:naryPr>
                                <m:chr m:val="∑"/>
                                <m:limLoc m:val="undOvr"/>
                                <m:subHide m:val="off"/>
                                <m:supHide m:val="off"/>
                              </m:naryPr>
                              <m:sub>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r>
                                  <m:rPr>
                                    <m:sty m:val="b"/>
                                  </m:rPr>
                                  <w:rPr>
                                    <w:rFonts w:ascii="Times New Roman" w:hAnsi="Times New Roman" w:eastAsia="Times New Roman" w:cs="Times New Roman"/>
                                    <w:highlight w:val="yellow"/>
                                  </w:rPr>
                                  <m:t>1</m:t>
                                </m:r>
                              </m:e>
                            </m:nary>
                          </m:e>
                        </m:nary>
                      </m:e>
                    </m:nary>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um>
                  <m:den>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den>
                </m:f>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widowControl/>
        <w:ind w:firstLine="420"/>
      </w:pPr>
      <w:r>
        <w:rPr>
          <w:rFonts w:ascii="Times New Roman" w:hAnsi="Times New Roman" w:eastAsia="Times New Roman" w:cs="Times New Roman"/>
          <w:sz w:val="20"/>
          <w:szCs w:val="20"/>
        </w:rPr>
        <w:t xml:space="preserve">where a sample is counted once if any enforced pressure, separator-enthalpy, or power barrier is below </w:t>
      </w:r>
      <w:r>
        <w:rPr>
          <w:rFonts w:ascii="Times New Roman" w:hAnsi="Times New Roman" w:eastAsia="Times New Roman" w:cs="Times New Roman"/>
          <w:sz w:val="20"/>
          <w:szCs w:val="20"/>
          <w:highlight w:val="yellow"/>
        </w:rPr>
        <w:t xml:space="preserve">its own</w:t>
      </w:r>
      <w:r>
        <w:rPr>
          <w:rFonts w:ascii="Times New Roman" w:hAnsi="Times New Roman" w:eastAsia="Times New Roman" w:cs="Times New Roman"/>
          <w:sz w:val="20"/>
          <w:szCs w:val="20"/>
        </w:rPr>
        <w:t xml:space="preserve"> tolerance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the same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separately in the native unit of each barrier: MPa for pressure, kJ/kg for enthalpy, and MW for power. No minimum is taken across quantities with different units. These tolerances avoid counting QP boundary roundoff as a physical violation; later stress-test diagnostics use the tolerances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keepNext/>
        <w:keepLines/>
      </w:pPr>
      <w:r>
        <w:rPr>
          <w:rFonts w:ascii="Times New Roman" w:hAnsi="Times New Roman" w:eastAsia="Times New Roman" w:cs="Times New Roman"/>
          <w:sz w:val="20"/>
          <w:szCs w:val="20"/>
          <w:color w:val="000000"/>
          <w:b/>
          <w:bCs/>
          <w:i/>
          <w:iCs/>
        </w:rPr>
        <w:t>4.2 Closed-Loop Safety and Process Response</w:t>
      </w:r>
    </w:p>
    <w:p>
      <w:pPr>
        <w:jc w:val="left"/>
        <w:widowControl/>
        <w:spacing w:before="80" w:after="120"/>
        <w:keepNext/>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w:t>
      </w:r>
      <w:r>
        <w:rPr>
          <w:rFonts w:ascii="Times New Roman" w:hAnsi="Times New Roman" w:eastAsia="Times New Roman" w:cs="Times New Roman"/>
          <w:sz w:val="20"/>
          <w:szCs w:val="20"/>
          <w:highlight w:val="yellow"/>
        </w:rPr>
        <w:t xml:space="preserve">per-constraint native-unit tolerances of</w:t>
      </w:r>
      <w:r>
        <w:rPr>
          <w:rFonts w:ascii="Times New Roman" w:hAnsi="Times New Roman" w:eastAsia="Times New Roman" w:cs="Times New Roman"/>
          <w:sz w:val="20"/>
          <w:szCs w:val="20"/>
        </w:rPr>
        <w:t xml:space="preserve"> numerical </w:t>
      </w:r>
      <w:r>
        <w:rPr>
          <w:rFonts w:ascii="Times New Roman" w:hAnsi="Times New Roman" w:eastAsia="Times New Roman" w:cs="Times New Roman"/>
          <w:sz w:val="20"/>
          <w:szCs w:val="20"/>
          <w:highlight w:val="yellow"/>
        </w:rPr>
        <w:t xml:space="preserve">value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per-constraint native-unit tolerances of numerical value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widowControl/>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w:t>
      </w:r>
      <w:r>
        <w:rPr>
          <w:rFonts w:ascii="Times New Roman" w:hAnsi="Times New Roman" w:eastAsia="Times New Roman" w:cs="Times New Roman"/>
          <w:sz w:val="20"/>
          <w:szCs w:val="20"/>
          <w:highlight w:val="yellow"/>
        </w:rPr>
        <w:t xml:space="preserve">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w:t>
      </w:r>
      <w:r>
        <w:rPr>
          <w:rFonts w:ascii="Times New Roman" w:hAnsi="Times New Roman" w:eastAsia="Times New Roman" w:cs="Times New Roman"/>
          <w:sz w:val="20"/>
          <w:szCs w:val="20"/>
          <w:highlight w:val="yellow"/>
        </w:rPr>
        <w:t xml:space="preserve">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samples exceeding the per-constraint counting tolerances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solver failure. The comparison therefore does not establish universal superiority over MPC; RoCBF-SF’s deployment distinction is its one-step downstream projection of an existing coordinated-controller command.</w:t>
      </w:r>
    </w:p>
    <w:p>
      <w:pPr>
        <w:pStyle w:val="3"/>
        <w:jc w:val="left"/>
        <w:widowControl/>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widowControl/>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Next/>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widowControl/>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84165"/>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8416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rPr>
        <w:t xml:space="preserve"> shaded region marks violation of the lower </w:t>
      </w:r>
      <w:r>
        <w:rPr>
          <w:rFonts w:ascii="Times New Roman" w:hAnsi="Times New Roman" w:eastAsia="Times New Roman" w:cs="Times New Roman"/>
          <w:sz w:val="20"/>
          <w:szCs w:val="20"/>
          <w:highlight w:val="yellow"/>
        </w:rPr>
        <w:t xml:space="preserve">pressure</w:t>
      </w:r>
      <w:r>
        <w:rPr>
          <w:rFonts w:ascii="Times New Roman" w:hAnsi="Times New Roman" w:eastAsia="Times New Roman" w:cs="Times New Roman"/>
          <w:sz w:val="20"/>
          <w:szCs w:val="20"/>
        </w:rPr>
        <w:t xml:space="preserv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 per-constraint counting tolerances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counted violations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counted violations under the stated pressure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w:t>
      </w:r>
      <w:r>
        <w:rPr>
          <w:rFonts w:ascii="Times New Roman" w:hAnsi="Times New Roman" w:eastAsia="Times New Roman" w:cs="Times New Roman"/>
          <w:sz w:val="20"/>
          <w:szCs w:val="20"/>
          <w:highlight w:val="yellow"/>
        </w:rPr>
        <w:t xml:space="preserve">drift-only</w:t>
      </w:r>
      <w:r>
        <w:rPr>
          <w:rFonts w:ascii="Times New Roman" w:hAnsi="Times New Roman" w:eastAsia="Times New Roman" w:cs="Times New Roman"/>
          <w:sz w:val="20"/>
          <w:szCs w:val="20"/>
        </w:rPr>
        <w:t xml:space="preserve">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w:t>
      </w:r>
      <w:r>
        <w:rPr>
          <w:rFonts w:ascii="Times New Roman" w:hAnsi="Times New Roman" w:eastAsia="Times New Roman" w:cs="Times New Roman"/>
          <w:sz w:val="20"/>
          <w:szCs w:val="20"/>
          <w:highlight w:val="yellow"/>
        </w:rPr>
        <w:t xml:space="preserve">enthalpy margins</w:t>
      </w:r>
      <w:r>
        <w:rPr>
          <w:rFonts w:ascii="Times New Roman" w:hAnsi="Times New Roman" w:eastAsia="Times New Roman" w:cs="Times New Roman"/>
          <w:sz w:val="20"/>
          <w:szCs w:val="20"/>
        </w:rPr>
        <w:t xml:space="preserve"> from identical </w:t>
      </w:r>
      <w:r>
        <w:rPr>
          <w:rFonts w:ascii="Times New Roman" w:hAnsi="Times New Roman" w:eastAsia="Times New Roman" w:cs="Times New Roman"/>
          <w:sz w:val="20"/>
          <w:szCs w:val="20"/>
          <w:highlight w:val="yellow"/>
        </w:rPr>
        <w:t xml:space="preserve">state–input</w:t>
      </w:r>
      <w:r>
        <w:rPr>
          <w:rFonts w:ascii="Times New Roman" w:hAnsi="Times New Roman" w:eastAsia="Times New Roman" w:cs="Times New Roman"/>
          <w:sz w:val="20"/>
          <w:szCs w:val="20"/>
        </w:rPr>
        <w:t xml:space="preserve">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w:t>
      </w:r>
      <w:r>
        <w:rPr>
          <w:rFonts w:ascii="Times New Roman" w:hAnsi="Times New Roman" w:eastAsia="Times New Roman" w:cs="Times New Roman"/>
          <w:sz w:val="20"/>
          <w:szCs w:val="20"/>
          <w:highlight w:val="yellow"/>
        </w:rPr>
        <w:t xml:space="preserve">At the first controller instant, the same state and zero-deviation input give nominal and true next-step separator pressures of 16.546 and 15.582 MPa, respectively; the corresponding nominal and true lower-enthalpy margins are 78.628 and 64.628 kJ/kg.</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4.</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counted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keepNext/>
        <w:keepLines/>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counted violations and no QP rejection at each size. Synthetic target corruption exposes a dictionary-size dependence: the 100- and 250-point fits produce 5.76–20.24% violation and 4.04–8.60% QP rejection, whereas the 500-point fits retain 0/2500 counted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keepNext/>
        <w:keepLines/>
      </w:pPr>
      <w:r>
        <w:rPr>
          <w:rFonts w:ascii="Times New Roman" w:hAnsi="Times New Roman" w:eastAsia="Times New Roman" w:cs="Times New Roman"/>
          <w:sz w:val="20"/>
          <w:szCs w:val="20"/>
          <w:color w:val="000000"/>
          <w:b/>
          <w:bCs/>
          <w:i/>
          <w:iCs/>
          <w:highlight w:val="yellow"/>
        </w:rPr>
        <w:t>4.4 Real-Time Computation</w:t>
      </w:r>
    </w:p>
    <w:p>
      <w:pPr>
        <w:pStyle w:val="11"/>
        <w:jc w:val="left"/>
        <w:widowControl/>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widowControl/>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keepNext/>
        <w:keepLines/>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widowControl/>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w:t>
      </w:r>
      <w:r>
        <w:rPr>
          <w:rFonts w:ascii="Times New Roman" w:hAnsi="Times New Roman" w:eastAsia="Times New Roman" w:cs="Times New Roman"/>
          <w:sz w:val="20"/>
          <w:szCs w:val="20"/>
          <w:highlight w:val="yellow"/>
        </w:rPr>
        <w:t xml:space="preserve">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288</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w:t>
      </w:r>
      <w:r>
        <w:rPr>
          <w:rFonts w:ascii="Times New Roman" w:hAnsi="Times New Roman" w:eastAsia="Times New Roman" w:cs="Times New Roman"/>
          <w:sz w:val="20"/>
          <w:szCs w:val="20"/>
          <w:highlight w:val="yellow"/>
        </w:rPr>
        <w:t xml:space="preserve">low-to-mid-load historian</w:t>
      </w:r>
      <w:r>
        <w:rPr>
          <w:rFonts w:ascii="Times New Roman" w:hAnsi="Times New Roman" w:eastAsia="Times New Roman" w:cs="Times New Roman"/>
          <w:sz w:val="20"/>
          <w:szCs w:val="20"/>
        </w:rPr>
        <w:t xml:space="preserve">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w:t>
      </w:r>
      <w:r>
        <w:rPr>
          <w:rFonts w:ascii="Times New Roman" w:hAnsi="Times New Roman" w:eastAsia="Times New Roman" w:cs="Times New Roman"/>
          <w:sz w:val="20"/>
          <w:szCs w:val="20"/>
          <w:highlight w:val="yellow"/>
        </w:rPr>
        <w:t xml:space="preserve">low-to-mid-load historian</w:t>
      </w:r>
      <w:r>
        <w:rPr>
          <w:rFonts w:ascii="Times New Roman" w:hAnsi="Times New Roman" w:eastAsia="Times New Roman" w:cs="Times New Roman"/>
          <w:sz w:val="20"/>
          <w:szCs w:val="20"/>
        </w:rPr>
        <w:t xml:space="preserve">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w:t>
      </w:r>
      <w:r>
        <w:rPr>
          <w:rFonts w:ascii="Times New Roman" w:hAnsi="Times New Roman" w:eastAsia="Times New Roman" w:cs="Times New Roman"/>
          <w:sz w:val="20"/>
          <w:szCs w:val="20"/>
          <w:highlight w:val="yellow"/>
        </w:rPr>
        <w:t xml:space="preserve">these historian</w:t>
      </w:r>
      <w:r>
        <w:rPr>
          <w:rFonts w:ascii="Times New Roman" w:hAnsi="Times New Roman" w:eastAsia="Times New Roman" w:cs="Times New Roman"/>
          <w:sz w:val="20"/>
          <w:szCs w:val="20"/>
        </w:rPr>
        <w:t xml:space="preserve"> windows within measured plant operation.</w:t>
      </w:r>
    </w:p>
    <w:p>
      <w:pPr>
        <w:pStyle w:val="3"/>
        <w:jc w:val="left"/>
        <w:widowControl/>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w:t>
      </w:r>
      <w:r>
        <w:rPr>
          <w:rFonts w:ascii="Times New Roman" w:hAnsi="Times New Roman" w:eastAsia="Times New Roman" w:cs="Times New Roman"/>
          <w:sz w:val="20"/>
          <w:szCs w:val="20"/>
          <w:highlight w:val="yellow"/>
        </w:rPr>
        <w:t xml:space="preserve">constraint</w:t>
      </w:r>
      <w:r>
        <w:rPr>
          <w:rFonts w:ascii="Times New Roman" w:hAnsi="Times New Roman" w:eastAsia="Times New Roman" w:cs="Times New Roman"/>
          <w:sz w:val="20"/>
          <w:szCs w:val="20"/>
        </w:rPr>
        <w:t xml:space="preserve"> envelope. </w:t>
      </w:r>
      <w:r>
        <w:rPr>
          <w:rFonts w:ascii="Times New Roman" w:hAnsi="Times New Roman" w:eastAsia="Times New Roman" w:cs="Times New Roman"/>
          <w:sz w:val="20"/>
          <w:szCs w:val="20"/>
          <w:highlight w:val="yellow"/>
        </w:rPr>
        <w:t xml:space="preserve">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They do not supply controller-internal QP fields.</w:t>
      </w:r>
      <w:r>
        <w:rPr>
          <w:rFonts w:ascii="Times New Roman" w:hAnsi="Times New Roman" w:eastAsia="Times New Roman" w:cs="Times New Roman"/>
          <w:sz w:val="20"/>
          <w:szCs w:val="20"/>
        </w:rPr>
        <w:t xml:space="preserve"> Load was strongly correlated with pressure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0.986</m:t>
        </m:r>
      </m:oMath>
      <w:r>
        <w:rPr>
          <w:rFonts w:ascii="Times New Roman" w:hAnsi="Times New Roman" w:eastAsia="Times New Roman" w:cs="Times New Roman"/>
          <w:sz w:val="20"/>
          <w:szCs w:val="20"/>
        </w:rPr>
        <w:t xml:space="preserve">) and fuel flow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0.980</m:t>
        </m:r>
      </m:oMath>
      <w:r>
        <w:rPr>
          <w:rFonts w:ascii="Times New Roman" w:hAnsi="Times New Roman" w:eastAsia="Times New Roman" w:cs="Times New Roman"/>
          <w:sz w:val="20"/>
          <w:szCs w:val="20"/>
        </w:rPr>
        <w:t xml:space="preserve">), confirming pressure–combustion coupling during load following. </w:t>
      </w:r>
      <w:r>
        <w:rPr>
          <w:rFonts w:ascii="Times New Roman" w:hAnsi="Times New Roman" w:eastAsia="Times New Roman" w:cs="Times New Roman"/>
          <w:sz w:val="20"/>
          <w:szCs w:val="20"/>
          <w:highlight w:val="yellow"/>
        </w:rPr>
        <w:t xml:space="preserve">The MW04–MW06 controller exports analyzed below provide the separate execution evidence at 480.7–629.7 MW (72.8–95.4% of nameplate power).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Across the two record types, measured operation spans 195.7 to 629.7 MW (29.7–95.4% of nameplate), but it does not provide continuous controller-internal performance validation at every load through 660 MW.</w:t>
      </w:r>
    </w:p>
    <w:p>
      <w:pPr>
        <w:pStyle w:val="3"/>
        <w:jc w:val="left"/>
        <w:widowControl/>
        <w:ind w:firstLine="420"/>
      </w:pPr>
      <w:r>
        <w:rPr>
          <w:rFonts w:ascii="Times New Roman" w:hAnsi="Times New Roman" w:eastAsia="Times New Roman" w:cs="Times New Roman"/>
          <w:sz w:val="20"/>
          <w:szCs w:val="20"/>
        </w:rPr>
        <w:t xml:space="preserve">The unit chronology permits a load-matched commissioning comparison. </w:t>
      </w:r>
      <w:r>
        <w:rPr>
          <w:rFonts w:ascii="Times New Roman" w:hAnsi="Times New Roman" w:eastAsia="Times New Roman" w:cs="Times New Roman"/>
          <w:sz w:val="20"/>
          <w:szCs w:val="20"/>
          <w:highlight w:val="yellow"/>
        </w:rPr>
        <w:t xml:space="preserve">The 660 MW unit used traditional PID before 21 May 2026, was shut down from 21 May to 24 June 2026, and restarted with the proposed RoCBF-SF-based strategy after 24 June 2026.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Retained plant work-scope and controller-configuration records distinguish the simultaneous changes.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Routine maintenance included instrument calibration, actuator inspection, combustion-equipment maintenance, and heat-surface cleaning.</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baseline PID gains, output limits, anti-windup, sliding-pressure curve, coordinated-control logic, and fuel/feedwater/turbine-valve base loops were unchanged; the control-system modification was the downstream RoCBF-SF integration and its enable, bypass, heartbeat, command-quality, and DCS-selection logic.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We screened 300 s historian records from 2024–2025 and 25 June–5 July 2026.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Candidate two-hour windows contain 24 consecutive samples, advance every 30 min, and retain only load in 195–700 MW with finite pressure, setpoint, and fuel-flow values.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700 MW ceiling is a permissive data-quality screen rather than an observed operating endpoint; measured ranges are reported separately below.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A global linear-assignment step forms one-to-one pairs without replacement using mean-load difference, 24-point load-profile RMSE, load-range difference, and fuel/load difference.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Calipers are 10, 30, and 40 MW and 0.08, respectively.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This protocol yields 512 pairs from 14,675 pre-retrofit and 517 post-retrofit candidates.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Median mean-load difference is 1.32 MW and median profile RMSE is 15.37 MW.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Cohort median pressure-residual standard deviation decreases from 0.523 to 0.502 MPa (3.93%), whereas median absolute-error p95 is essentially unchanged (1.082 versus 1.085 MPa).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Because the windows overlap, these cohort quantities and the post-day cluster bootstrap reported in the Supplemental Material are descriptive rather than independent-sample inference.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The retained records narrow the set of control-system changes but do not remove routine maintenance as a competing explanation, so the response comparison remains observational evidence associated with the documented retrofit rather than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w:t>
      </w:r>
      <w:r>
        <w:rPr>
          <w:rFonts w:ascii="Times New Roman" w:hAnsi="Times New Roman" w:eastAsia="Times New Roman" w:cs="Times New Roman"/>
          <w:sz w:val="20"/>
          <w:szCs w:val="20"/>
          <w:highlight w:val="yellow"/>
        </w:rPr>
        <w:t xml:space="preserve">The load-matched result documents improved pressure response after the retrofit under comparable load movement.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Because routine outage maintenance occurred concurrently, this comparison does not by itself attribute the entire improvement to RoCBF-SF; the controller exports independently verify online execution of the proposed filter.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The plant evidence</w:t>
      </w:r>
      <w:r>
        <w:rPr>
          <w:rFonts w:ascii="Times New Roman" w:hAnsi="Times New Roman" w:eastAsia="Times New Roman" w:cs="Times New Roman"/>
          <w:sz w:val="20"/>
          <w:szCs w:val="20"/>
        </w:rPr>
        <w:t xml:space="preserv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widowControl/>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widowControl/>
        <w:spacing w:before="80" w:after="120"/>
        <w:keepNext/>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widowControl/>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MW05–MW06 show routine full-QP operation; MW04 exposes the recovery mechanism and its certificate boundary.</w:t>
      </w:r>
      <w:r>
        <w:rPr>
          <w:rFonts w:ascii="Times New Roman" w:hAnsi="Times New Roman" w:eastAsia="Times New Roman" w:cs="Times New Roman"/>
          <w:sz w:val="20"/>
          <w:szCs w:val="20"/>
        </w:rPr>
        <w:t xml:space="preserve">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w:t>
      </w:r>
      <w:r>
        <w:rPr>
          <w:rFonts w:ascii="Times New Roman" w:hAnsi="Times New Roman" w:eastAsia="Times New Roman" w:cs="Times New Roman"/>
          <w:sz w:val="20"/>
          <w:szCs w:val="20"/>
          <w:highlight w:val="yellow"/>
        </w:rPr>
        <w:t xml:space="preserve">plant-controller exports</w:t>
      </w:r>
      <w:r>
        <w:rPr>
          <w:rFonts w:ascii="Times New Roman" w:hAnsi="Times New Roman" w:eastAsia="Times New Roman" w:cs="Times New Roman"/>
          <w:sz w:val="20"/>
          <w:szCs w:val="20"/>
        </w:rPr>
        <w:t xml:space="preserve"> verify the deployed execution </w:t>
      </w:r>
      <w:r>
        <w:rPr>
          <w:rFonts w:ascii="Times New Roman" w:hAnsi="Times New Roman" w:eastAsia="Times New Roman" w:cs="Times New Roman"/>
          <w:sz w:val="20"/>
          <w:szCs w:val="20"/>
          <w:highlight w:val="yellow"/>
        </w:rPr>
        <w:t xml:space="preserve">and recovery paths</w:t>
      </w:r>
      <w:r>
        <w:rPr>
          <w:rFonts w:ascii="Times New Roman" w:hAnsi="Times New Roman" w:eastAsia="Times New Roman" w:cs="Times New Roman"/>
          <w:sz w:val="20"/>
          <w:szCs w:val="20"/>
        </w:rPr>
        <w:t xml:space="preserve">.</w:t>
      </w:r>
    </w:p>
    <w:p>
      <w:pPr>
        <w:jc w:val="left"/>
        <w:spacing w:before="0" w:after="0"/>
        <w:keepNext/>
        <w:keepLines/>
      </w:pPr>
      <w:r>
        <w:rPr>
          <w:rFonts w:ascii="Times New Roman" w:hAnsi="Times New Roman" w:eastAsia="Times New Roman" w:cs="Times New Roman"/>
          <w:sz w:val="20"/>
          <w:szCs w:val="20"/>
          <w:color w:val="000000"/>
          <w:b/>
          <w:bCs/>
          <w:i/>
          <w:iCs/>
        </w:rPr>
        <w:t>4.6 Stage-Gated Commissioning Protocol</w:t>
      </w:r>
    </w:p>
    <w:p>
      <w:pPr>
        <w:pStyle w:val="11"/>
        <w:jc w:val="left"/>
        <w:widowControl/>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widowControl/>
        <w:spacing w:before="80" w:after="120"/>
        <w:keepNext/>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Use a field-calibrated frozen GP whose training domain covers the commissioned operating envelope; select the smallest</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widowControl/>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highlight w:val="yellow"/>
        </w:rPr>
        <w:t xml:space="preserve">During operation, moderate coverage loss enters full-row nominal-HOCBF mode for at most ten cycles, whereas persistent coverage loss or a hard fault returns authority to the live DCS command and latches bypass.</w:t>
      </w:r>
      <w:r>
        <w:rPr>
          <w:rFonts w:ascii="Times New Roman" w:hAnsi="Times New Roman" w:eastAsia="Times New Roman" w:cs="Times New Roman"/>
          <w:sz w:val="20"/>
          <w:szCs w:val="20"/>
        </w:rPr>
        <w:t xml:space="preserve">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w:t>
      </w:r>
      <w:r>
        <w:rPr>
          <w:rFonts w:ascii="Times New Roman" w:hAnsi="Times New Roman" w:eastAsia="Times New Roman" w:cs="Times New Roman"/>
          <w:sz w:val="20"/>
          <w:szCs w:val="20"/>
          <w:highlight w:val="yellow"/>
        </w:rPr>
        <w:t xml:space="preserve">the formal certificate</w:t>
      </w:r>
      <w:r>
        <w:rPr>
          <w:rFonts w:ascii="Times New Roman" w:hAnsi="Times New Roman" w:eastAsia="Times New Roman" w:cs="Times New Roman"/>
          <w:sz w:val="20"/>
          <w:szCs w:val="20"/>
        </w:rPr>
        <w:t xml:space="preserve"> to drift-dominated uncertainty; actuator-gain uncertainty requires additional modeling.</w:t>
      </w:r>
    </w:p>
    <w:p>
      <w:pPr>
        <w:pStyle w:val="3"/>
        <w:jc w:val="left"/>
        <w:widowControl/>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keepNext/>
        <w:keepLines/>
      </w:pPr>
      <w:r>
        <w:rPr>
          <w:rFonts w:ascii="Times New Roman" w:hAnsi="Times New Roman" w:eastAsia="Times New Roman" w:cs="Times New Roman"/>
          <w:sz w:val="24"/>
          <w:szCs w:val="24"/>
          <w:color w:val="000000"/>
          <w:b/>
          <w:bCs/>
          <w:i/>
          <w:iCs/>
        </w:rPr>
        <w:t>5 Conclusion</w:t>
      </w:r>
    </w:p>
    <w:p>
      <w:pPr>
        <w:pStyle w:val="11"/>
        <w:jc w:val="left"/>
        <w:widowControl/>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w:t>
      </w:r>
      <w:r>
        <w:rPr>
          <w:rFonts w:ascii="Times New Roman" w:hAnsi="Times New Roman" w:eastAsia="Times New Roman" w:cs="Times New Roman"/>
          <w:sz w:val="20"/>
          <w:szCs w:val="20"/>
          <w:highlight w:val="yellow"/>
        </w:rPr>
        <w:t xml:space="preserve">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widowControl/>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samples exceeding the prespecified per-constraint native-unit tolerances.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widowControl/>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widowControl/>
        <w:ind w:firstLine="420"/>
      </w:pPr>
      <w:r>
        <w:rPr>
          <w:rFonts w:ascii="Times New Roman" w:hAnsi="Times New Roman" w:eastAsia="Times New Roman" w:cs="Times New Roman"/>
          <w:sz w:val="20"/>
          <w:szCs w:val="20"/>
        </w:rPr>
        <w:t xml:space="preserve">Future work should extend </w:t>
      </w:r>
      <w:r>
        <w:rPr>
          <w:rFonts w:ascii="Times New Roman" w:hAnsi="Times New Roman" w:eastAsia="Times New Roman" w:cs="Times New Roman"/>
          <w:sz w:val="20"/>
          <w:szCs w:val="20"/>
          <w:highlight w:val="yellow"/>
        </w:rPr>
        <w:t xml:space="preserve">time-separated commissioning</w:t>
      </w:r>
      <w:r>
        <w:rPr>
          <w:rFonts w:ascii="Times New Roman" w:hAnsi="Times New Roman" w:eastAsia="Times New Roman" w:cs="Times New Roman"/>
          <w:sz w:val="20"/>
          <w:szCs w:val="20"/>
        </w:rPr>
        <w:t xml:space="preserve"> coverage, </w:t>
      </w:r>
      <w:r>
        <w:rPr>
          <w:rFonts w:ascii="Times New Roman" w:hAnsi="Times New Roman" w:eastAsia="Times New Roman" w:cs="Times New Roman"/>
          <w:sz w:val="20"/>
          <w:szCs w:val="20"/>
          <w:highlight w:val="yellow"/>
        </w:rPr>
        <w:t xml:space="preserve">evaluate</w:t>
      </w:r>
      <w:r>
        <w:rPr>
          <w:rFonts w:ascii="Times New Roman" w:hAnsi="Times New Roman" w:eastAsia="Times New Roman" w:cs="Times New Roman"/>
          <w:sz w:val="20"/>
          <w:szCs w:val="20"/>
        </w:rPr>
        <w:t xml:space="preserve"> actuator-gain uncertainty beyond the current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w:t>
      </w:r>
      <w:r>
        <w:rPr>
          <w:rFonts w:ascii="Times New Roman" w:hAnsi="Times New Roman" w:eastAsia="Times New Roman" w:cs="Times New Roman"/>
          <w:sz w:val="20"/>
          <w:szCs w:val="20"/>
          <w:highlight w:val="yellow"/>
        </w:rPr>
        <w:t xml:space="preserve">the 1 s</w:t>
      </w:r>
      <w:r>
        <w:rPr>
          <w:rFonts w:ascii="Times New Roman" w:hAnsi="Times New Roman" w:eastAsia="Times New Roman" w:cs="Times New Roman"/>
          <w:sz w:val="20"/>
          <w:szCs w:val="20"/>
        </w:rPr>
        <w:t xml:space="preserve"> zero-order-hold implementation. </w:t>
      </w:r>
      <w:r>
        <w:rPr>
          <w:rFonts w:ascii="Times New Roman" w:hAnsi="Times New Roman" w:eastAsia="Times New Roman" w:cs="Times New Roman"/>
          <w:sz w:val="20"/>
          <w:szCs w:val="20"/>
          <w:highlight w:val="yellow"/>
        </w:rPr>
        <w:t xml:space="preserve">Further field validation should also retain the current separation between historian response evidence, controller-execution evidence, and full-row certificate conditions.</w:t>
      </w:r>
    </w:p>
    <w:p>
      <w:pPr>
        <w:jc w:val="left"/>
        <w:spacing w:before="0" w:after="0"/>
        <w:keepNext/>
        <w:keepLines/>
      </w:pPr>
      <w:r>
        <w:rPr>
          <w:rFonts w:ascii="Times New Roman" w:hAnsi="Times New Roman" w:eastAsia="Times New Roman" w:cs="Times New Roman"/>
          <w:sz w:val="24"/>
          <w:szCs w:val="24"/>
          <w:color w:val="000000"/>
          <w:b/>
          <w:bCs/>
          <w:i/>
          <w:iCs/>
          <w:highlight w:val="yellow"/>
        </w:rPr>
        <w:t xml:space="preserve">Statements and Declarations</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Ethical considerations</w:t>
      </w:r>
    </w:p>
    <w:p>
      <w:pPr>
        <w:pStyle w:val="11"/>
        <w:jc w:val="left"/>
        <w:widowControl/>
        <w:ind w:firstLine="420"/>
      </w:pPr>
      <w:r>
        <w:rPr>
          <w:rFonts w:ascii="Times New Roman" w:hAnsi="Times New Roman" w:eastAsia="Times New Roman" w:cs="Times New Roman"/>
          <w:sz w:val="20"/>
          <w:szCs w:val="20"/>
          <w:highlight w:val="yellow"/>
        </w:rPr>
        <w:t xml:space="preserve">Not applicable. This study did not involve human participants, human data, human tissue, or animal experiments.</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Consent to participate</w:t>
      </w:r>
    </w:p>
    <w:p>
      <w:pPr>
        <w:pStyle w:val="11"/>
        <w:jc w:val="left"/>
        <w:widowControl/>
        <w:ind w:firstLine="420"/>
      </w:pPr>
      <w:r>
        <w:rPr>
          <w:rFonts w:ascii="Times New Roman" w:hAnsi="Times New Roman" w:eastAsia="Times New Roman" w:cs="Times New Roman"/>
          <w:sz w:val="20"/>
          <w:szCs w:val="20"/>
          <w:highlight w:val="yellow"/>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Consent for publication</w:t>
      </w:r>
    </w:p>
    <w:p>
      <w:pPr>
        <w:pStyle w:val="11"/>
        <w:jc w:val="left"/>
        <w:widowControl/>
        <w:ind w:firstLine="420"/>
      </w:pPr>
      <w:r>
        <w:rPr>
          <w:rFonts w:ascii="Times New Roman" w:hAnsi="Times New Roman" w:eastAsia="Times New Roman" w:cs="Times New Roman"/>
          <w:sz w:val="20"/>
          <w:szCs w:val="20"/>
          <w:highlight w:val="yellow"/>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Declaration of conflicting interests</w:t>
      </w:r>
    </w:p>
    <w:p>
      <w:pPr>
        <w:pStyle w:val="11"/>
        <w:jc w:val="left"/>
        <w:widowControl/>
        <w:ind w:firstLine="420"/>
      </w:pPr>
      <w:r>
        <w:rPr>
          <w:rFonts w:ascii="Times New Roman" w:hAnsi="Times New Roman" w:eastAsia="Times New Roman" w:cs="Times New Roman"/>
          <w:sz w:val="20"/>
          <w:szCs w:val="20"/>
          <w:highlight w:val="yellow"/>
        </w:rPr>
        <w:t xml:space="preserve">The author(s) declared no potential conflicts of interest with respect to the research, authorship, and/or publication of this article.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Funding</w:t>
      </w:r>
    </w:p>
    <w:p>
      <w:pPr>
        <w:pStyle w:val="11"/>
        <w:jc w:val="left"/>
        <w:widowControl/>
        <w:ind w:firstLine="420"/>
      </w:pPr>
      <w:r>
        <w:rPr>
          <w:rFonts w:ascii="Times New Roman" w:hAnsi="Times New Roman" w:eastAsia="Times New Roman" w:cs="Times New Roman"/>
          <w:sz w:val="20"/>
          <w:szCs w:val="20"/>
          <w:highlight w:val="yellow"/>
        </w:rPr>
        <w:t xml:space="preserve">This work was supported by the Postdoctoral Research Project of China Resources Power Technology Research Institute Co., Ltd. (Internal Project No. 374322).</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Data availability</w:t>
      </w:r>
    </w:p>
    <w:p>
      <w:pPr>
        <w:pStyle w:val="11"/>
        <w:jc w:val="left"/>
        <w:widowControl/>
        <w:ind w:firstLine="420"/>
      </w:pPr>
      <w:r>
        <w:rPr>
          <w:rFonts w:ascii="Times New Roman" w:hAnsi="Times New Roman" w:eastAsia="Times New Roman" w:cs="Times New Roman"/>
          <w:sz w:val="20"/>
          <w:szCs w:val="20"/>
          <w:highlight w:val="yellow"/>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GitHub repository</w:t>
      </w:r>
      <w:r>
        <w:rPr>
          <w:rFonts w:ascii="Times New Roman" w:hAnsi="Times New Roman" w:eastAsia="Times New Roman" w:cs="Times New Roman"/>
          <w:sz w:val="20"/>
          <w:szCs w:val="20"/>
          <w:highlight w:val="yellow"/>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Declaration of generative AI and AI-assisted technologies</w:t>
      </w:r>
    </w:p>
    <w:p>
      <w:pPr>
        <w:pStyle w:val="11"/>
        <w:jc w:val="left"/>
        <w:widowControl/>
        <w:ind w:firstLine="420"/>
      </w:pPr>
      <w:r>
        <w:rPr>
          <w:rFonts w:ascii="Times New Roman" w:hAnsi="Times New Roman" w:eastAsia="Times New Roman" w:cs="Times New Roman"/>
          <w:sz w:val="20"/>
          <w:szCs w:val="20"/>
          <w:highlight w:val="yellow"/>
        </w:rPr>
        <w:t xml:space="preserve">During preparation of this work, the authors used Grammarly for English grammar checking. The authors reviewed and edited the manuscript and take full responsibility for its content.</w:t>
      </w:r>
    </w:p>
    <w:p>
      <w:pPr>
        <w:jc w:val="left"/>
        <w:spacing w:before="0" w:after="0"/>
        <w:keepNext/>
        <w:keepLines/>
      </w:pPr>
      <w:r>
        <w:rPr>
          <w:rFonts w:ascii="Times New Roman" w:hAnsi="Times New Roman" w:eastAsia="Times New Roman" w:cs="Times New Roman"/>
          <w:sz w:val="24"/>
          <w:szCs w:val="24"/>
          <w:color w:val="000000"/>
          <w:b/>
          <w:bCs/>
          <w:i/>
          <w:iCs/>
        </w:rPr>
        <w:t xml:space="preserve">References</w:t>
      </w:r>
    </w:p>
    <w:p>
      <w:pPr>
        <w:pStyle w:val="18"/>
        <w:jc w:val="left"/>
        <w:widowControl/>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widowControl/>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widowControl/>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widowControl/>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widowControl/>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widowControl/>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widowControl/>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widowControl/>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widowControl/>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widowControl/>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widowControl/>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2025;22:21296–310. doi:10.1109/TASE.2025.3611987</w:t>
      </w:r>
    </w:p>
    <w:p>
      <w:pPr>
        <w:pStyle w:val="18"/>
        <w:jc w:val="left"/>
        <w:widowControl/>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widowControl/>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widowControl/>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widowControl/>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widowControl/>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widowControl/>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widowControl/>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widowControl/>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widowControl/>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widowControl/>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widowControl/>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widowControl/>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widowControl/>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widowControl/>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widowControl/>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widowControl/>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widowControl/>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widowControl/>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widowControl/>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widowControl/>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widowControl/>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widowControl/>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p>
      <w:pPr>
        <w:pStyle w:val="18"/>
        <w:jc w:val="left"/>
        <w:widowControl/>
        <w:ind w:left="360" w:hanging="360"/>
      </w:pPr>
      <w:r>
        <w:rPr>
          <w:rFonts w:ascii="Times New Roman" w:hAnsi="Times New Roman" w:eastAsia="Times New Roman" w:cs="Times New Roman"/>
          <w:sz w:val="20"/>
          <w:szCs w:val="20"/>
        </w:rPr>
        <w:t>[34] Chowdhury SR, Gopalan A.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ns0:Relationships xmlns:ns0="http://schemas.openxmlformats.org/package/2006/relationships"><ns0:Relationship Type="http://schemas.openxmlformats.org/officeDocument/2006/relationships/numbering" Id="rId90" Target="numbering.xml" /><ns0:Relationship Type="http://schemas.openxmlformats.org/officeDocument/2006/relationships/styles" Id="rId89" Target="styles.xml" /><ns0:Relationship Type="http://schemas.openxmlformats.org/officeDocument/2006/relationships/settings" Id="rId88" Target="settings.xml" /><ns0:Relationship Type="http://schemas.openxmlformats.org/officeDocument/2006/relationships/webSettings" Id="rId87" Target="webSettings.xml" /><ns0:Relationship Type="http://schemas.openxmlformats.org/officeDocument/2006/relationships/fontTable" Id="rId86" Target="fontTable.xml" /><ns0:Relationship Type="http://schemas.openxmlformats.org/officeDocument/2006/relationships/theme" Id="rId85" Target="theme/theme1.xml" /><ns0:Relationship Type="http://schemas.openxmlformats.org/officeDocument/2006/relationships/footnotes" Id="rId84" Target="footnotes.xml" /><ns0:Relationship Type="http://schemas.openxmlformats.org/officeDocument/2006/relationships/image" Id="rId103" Target="media/rId103.png" /><ns0:Relationship Type="http://schemas.openxmlformats.org/officeDocument/2006/relationships/image" Id="rId142" Target="media/rId142.png" /><ns0:Relationship Type="http://schemas.openxmlformats.org/officeDocument/2006/relationships/image" Id="rId146" Target="media/rId146.png" /><ns0:Relationship Type="http://schemas.openxmlformats.org/officeDocument/2006/relationships/image" Id="rId127" Target="media/rId127.png" /><ns0:Relationship Type="http://schemas.openxmlformats.org/officeDocument/2006/relationships/image" Id="rId119" Target="media/rId119.png" /><ns0:Relationship Type="http://schemas.openxmlformats.org/officeDocument/2006/relationships/image" Id="rId123" Target="media/rId123.png" /><ns0:Relationship Type="http://schemas.openxmlformats.org/officeDocument/2006/relationships/image" Id="rId138" Target="media/rId138.png" /><ns0:Relationship Type="http://schemas.openxmlformats.org/officeDocument/2006/relationships/image" Id="rId132" Target="media/rId132.png" /></ns0:Relationships>
</file>

<file path=word/_rels/footnotes.xml.rels><?xml version='1.0' encoding='utf-8'?>
<ns0:Relationships xmlns:ns0="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