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103.png" ContentType="image/png"/>
  <ns0:Override PartName="/word/media/rId142.png" ContentType="image/png"/>
  <ns0:Override PartName="/word/media/rId146.png" ContentType="image/png"/>
  <ns0:Override PartName="/word/media/rId127.png" ContentType="image/png"/>
  <ns0:Override PartName="/word/media/rId119.png" ContentType="image/png"/>
  <ns0:Override PartName="/word/media/rId123.png" ContentType="image/png"/>
  <ns0:Override PartName="/word/media/rId138.png" ContentType="image/png"/>
  <ns0:Override PartName="/word/media/rId132.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benchmark aligned with the certificate assumption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no-GP HOCBF produces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violations in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 samples; GP mean correction reduces this count to 36. The calibrated setting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in the primary sweep, while an independent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000-sample holdout test reports a 0.132% violation rate and 0.144% QP-rejection rate. The full-margin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theoretical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worst-case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uses a continuous-time GP-HOCBF certificate as the conservative endpoint and treats the sampled implementation as an engineering boundary that must be verified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theorem formalizes the conservative endpoint.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K</ns1:t>
        </ns1:r>
      </ns1: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ξ</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K</ns1:t>
                    </ns1:r>
                  </ns1:sub>
                </ns1:sSub>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arg min</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up>
                    <ns1:r>
                      <w:rPr>
                        <w:rFonts w:ascii="Times New Roman" w:hAnsi="Times New Roman" w:eastAsia="Times New Roman" w:cs="Times New Roman"/>
                      </w:rPr>
                      <ns1:t>2</ns1:t>
                    </ns1:r>
                  </ns1:sup>
                </ns1:sSubSup>
                <ns1:r>
                  <w:rPr>
                    <w:rFonts w:ascii="Times New Roman" w:hAnsi="Times New Roman" w:eastAsia="Times New Roman" w:cs="Times New Roman"/>
                  </w:rPr>
                  <ns1:t> </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actuator command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input optimized by the safety filter. The upstream controller proposes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actuator command. The HOCBF rows are written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deviation-input form. The term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worst-case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x</ns1:t>
                    </ns1:r>
                  </ns1:e>
                </ns1:acc>
                <ns1:r>
                  <ns1:rPr>
                    <ns1:sty ns1:val="p"/>
                  </ns1:rPr>
                  <w:rPr>
                    <w:rFonts w:ascii="Times New Roman" w:hAnsi="Times New Roman" w:eastAsia="Times New Roman" w:cs="Times New Roman"/>
                  </w:rPr>
                  <ns1:t>=</ns1:t>
                </ns1:r>
                <ns1:limLow>
                  <ns1:e>
                    <ns1:limLow>
                      <ns1:e>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nominal</ns1:t>
                    </ns1:r>
                  </ns1:lim>
                </ns1:limLow>
                <ns1:r>
                  <ns1:rPr>
                    <ns1:sty ns1:val="p"/>
                  </ns1:rPr>
                  <w:rPr>
                    <w:rFonts w:ascii="Times New Roman" w:hAnsi="Times New Roman" w:eastAsia="Times New Roman" w:cs="Times New Roman"/>
                  </w:rPr>
                  <ns1:t>+</ns1:t>
                </ns1:r>
                <ns1:limLow>
                  <ns1:e>
                    <ns1:limLow>
                      <ns1:e>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residual</ns1:t>
                    </ns1:r>
                  </ns1:lim>
                </ns1:limLow>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n</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m</ns1:t>
                    </ns1:r>
                  </ns1:sup>
                </ns1:sSup>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2670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2830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ψ</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m</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exact-model rows in deviation-input form,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This preserves the bookkeeping between pressure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and enthalpy/power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constraints while keeping the QP decision variable equal to</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270500" cy="2635250"/>
            <ns2:effectExtent b="0" l="0" r="0" t="0"/>
            <ns2:docPr descr="" title="" id="104" name="Picture"/>
            <ns3:graphic>
              <ns3:graphicData uri="http://schemas.openxmlformats.org/drawingml/2006/picture">
                <ns4:pic>
                  <ns4:nvPicPr>
                    <ns4:cNvPr descr="figures/Figure_1.png" id="105" name="Picture"/>
                    <ns4:cNvPicPr>
                      <ns3:picLocks noChangeArrowheads="1" noChangeAspect="1"/>
                    </ns4:cNvPicPr>
                  </ns4:nvPicPr>
                  <ns4:blipFill>
                    <ns3:blip ns5:embed="rId103"/>
                    <ns3:stretch>
                      <ns3:fillRect/>
                    </ns3:stretch>
                  </ns4:blipFill>
                  <ns4:spPr bwMode="auto">
                    <ns3:xfrm>
                      <ns3:off x="0" y="0"/>
                      <ns3:ext cx="5270500" cy="2635250"/>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ns1:oMath>
        <ns1:sSub>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s</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GP-UCB bound gives: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ns1:rPr>
                    <ns1:nor/>
                    <ns1:sty ns1:val="p"/>
                  </ns1:rPr>
                  <w:rPr>
                    <w:rFonts w:ascii="Times New Roman" w:hAnsi="Times New Roman" w:eastAsia="Times New Roman" w:cs="Times New Roman"/>
                  </w:rPr>
                  <ns1:t>w.p.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w:rPr>
                    <w:rFonts w:ascii="Times New Roman" w:hAnsi="Times New Roman" w:eastAsia="Times New Roman" w:cs="Times New Roman"/>
                  </w:rPr>
                  <ns1:t>n</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β</ns1:t>
        </ns1:r>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maximum information gain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w:r>
      <w:r>
        <w:rPr>
          <w:rFonts w:ascii="Times New Roman" w:hAnsi="Times New Roman" w:eastAsia="Times New Roman" w:cs="Times New Roman"/>
          <w:sz w:val="20"/>
          <w:szCs w:val="20"/>
          <w:vertAlign w:val="superscript"/>
        </w:rPr>
        <w:t>6</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r>
                      <w:rPr>
                        <w:rFonts w:ascii="Times New Roman" w:hAnsi="Times New Roman" w:eastAsia="Times New Roman" w:cs="Times New Roman"/>
                      </w:rPr>
                      <ns1:t>h</ns1:t>
                    </ns1:r>
                  </ns1:e>
                  <ns1:e>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a uniform upper bound on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over</w:t>
      </w:r>
      <w:r>
        <w:rPr>
          <w:rFonts w:ascii="Times New Roman" w:hAnsi="Times New Roman" w:eastAsia="Times New Roman" w:cs="Times New Roman"/>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not only the equilibrium value. The implemented cross term is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which upper-bounds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on</w:t>
      </w:r>
      <w:r>
        <w:rPr>
          <w:rFonts w:ascii="Times New Roman" w:hAnsi="Times New Roman" w:eastAsia="Times New Roman" w:cs="Times New Roman"/>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using the RKHS derivative-bound argument in Lemma S1.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w:rPr>
                                    <w:rFonts w:ascii="Times New Roman" w:hAnsi="Times New Roman" w:eastAsia="Times New Roman" w:cs="Times New Roman"/>
                                  </w:rPr>
                                  <ns1:t>g</ns1:t>
                                </ns1:r>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ℓ</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ℓ</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with the empty product equal to one;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pressure barriers with</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The resulting HOCBF constraint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X</ns1:t>
        </ns1:r>
      </ns1:oMath>
      <w:r>
        <w:rPr>
          <w:rFonts w:ascii="Times New Roman" w:hAnsi="Times New Roman" w:eastAsia="Times New Roman" w:cs="Times New Roman"/>
          <w:i/>
          <w:iCs/>
          <w:sz w:val="20"/>
          <w:szCs w:val="20"/>
        </w:rPr>
        <w:t xml:space="preserve">, the barriers in Eq. </w:t>
      </w:r>
      <w:r>
        <w:rPr>
          <w:rFonts w:ascii="Times New Roman" w:hAnsi="Times New Roman" w:eastAsia="Times New Roman" w:cs="Times New Roman"/>
          <w:i/>
          <w:iCs/>
          <w:sz w:val="20"/>
          <w:szCs w:val="20"/>
        </w:rPr>
        <w:t xml:space="preserve">(6)</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are continuously differentiable to the required HOCBF order, and their relative degrees are known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i/>
          <w:iCs/>
          <w:sz w:val="20"/>
          <w:szCs w:val="20"/>
        </w:rPr>
        <w:t xml:space="preserve">). Each modeled component of</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on</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lies in the RKHS class required by the GP-UCB bound, and the fixed commissioning data give the simultaneous event</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all</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and all modeled components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 Residuals in the unmodeled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and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certificate-aligned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and the margin definitions in Section 3.3, together with Eq. </w:t>
      </w:r>
      <w:r>
        <w:rPr>
          <w:rFonts w:ascii="Times New Roman" w:hAnsi="Times New Roman" w:eastAsia="Times New Roman" w:cs="Times New Roman"/>
          <w:i/>
          <w:iCs/>
          <w:sz w:val="20"/>
          <w:szCs w:val="20"/>
        </w:rPr>
        <w:t xml:space="preserve">(11)</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ns1:oMath>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w:t>
      </w:r>
      <w:r>
        <w:rPr>
          <w:rFonts w:ascii="Times New Roman" w:hAnsi="Times New Roman" w:eastAsia="Times New Roman" w:cs="Times New Roman"/>
          <w:i/>
          <w:iCs/>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GP-UCB event, bounds each HOCBF-chain residual by induction, uses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it recovers the formal bound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acts as a commissioning parameter when smaller values are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i.e., the nominal HOCBF constraint with GP mean correction only. No robustness margin is applied beyond the mean correction itself.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the full compositional margin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recovering the worst-case certificate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numPr>
          <w:ilvl w:val="0"/>
          <w:numId w:val="1003"/>
        </w:numPr>
        <w:jc w:val="left"/>
      </w:pP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&lt;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full probabilistic certificate is attached only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Values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whether the worst-case endpoint is useful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f</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r</ns1:t>
            </ns1:r>
          </ns1:sub>
        </ns1:sSub>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i</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0.01</ns1:t>
        </ns1:r>
      </ns1: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three control inputs. The enforced limits are pressure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13–24 MPa), separator enthalpy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2670–2830 kJ/kg), and generator active-power tracking around the dispatch target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20"/>
          <w:szCs w:val="20"/>
        </w:rPr>
        <w:t xml:space="preserve"> MW).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primary validation corresponding to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the filter use the same fixed input matrix, so mismatch enters through drift residuals and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rollout conditions as an optimization-based reference. It solves a warm-started SLSQP problem with horizon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Every one of the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NMPC solves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converged and passed a</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R</ns1:t>
                    </ns1:r>
                  </ns1:e>
                  <ns1:sub>
                    <ns1:r>
                      <ns1:rPr>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f>
                  <ns1:fPr>
                    <ns1:type ns1:val="bar"/>
                  </ns1:fPr>
                  <ns1:num>
                    <ns1:nary>
                      <ns1:naryPr>
                        <ns1:chr ns1:val="∑"/>
                        <ns1:limLoc ns1:val="undOvr"/>
                        <ns1:subHide ns1:val="off"/>
                        <ns1:supHide ns1:val="off"/>
                      </ns1:naryPr>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up>
                      <ns1:e>
                        <ns1:nary>
                          <ns1:naryPr>
                            <ns1:chr ns1:val="∑"/>
                            <ns1:limLoc ns1:val="undOvr"/>
                            <ns1:subHide ns1:val="off"/>
                            <ns1:supHide ns1:val="off"/>
                          </ns1:naryPr>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nary>
                              <ns1:naryPr>
                                <ns1:chr ns1:val="∑"/>
                                <ns1:limLoc ns1:val="undOvr"/>
                                <ns1:subHide ns1:val="off"/>
                                <ns1:supHide ns1:val="off"/>
                              </ns1:naryPr>
                              <ns1:sub>
                                <ns1: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r>
                                  <ns1:rPr>
                                    <ns1:sty ns1:val="b"/>
                                  </ns1:rPr>
                                  <w:rPr>
                                    <w:rFonts w:ascii="Times New Roman" w:hAnsi="Times New Roman" w:eastAsia="Times New Roman" w:cs="Times New Roman"/>
                                  </w:rPr>
                                  <ns1:t>1</ns1:t>
                                </ns1:r>
                              </ns1:e>
                            </ns1:nary>
                          </ns1:e>
                        </ns1:nary>
                      </ns1:e>
                    </ns1:nary>
                    <ns1:r>
                      <ns1:rPr>
                        <ns1:sty ns1:val="p"/>
                      </ns1:rPr>
                      <w:rPr>
                        <w:rFonts w:ascii="Times New Roman" w:hAnsi="Times New Roman" w:eastAsia="Times New Roman" w:cs="Times New Roman"/>
                      </w:rPr>
                      <ns1:t>{</ns1:t>
                    </ns1:r>
                    <ns1:limLow>
                      <ns1:e>
                        <ns1:r>
                          <ns1:rPr>
                            <ns1:sty ns1:val="p"/>
                          </ns1:rPr>
                          <w:rPr>
                            <w:rFonts w:ascii="Times New Roman" w:hAnsi="Times New Roman" w:eastAsia="Times New Roman" w:cs="Times New Roman"/>
                          </w:rPr>
                          <ns1:t>min</ns1:t>
                        </ns1:r>
                      </ns1:e>
                      <ns1:lim>
                        <ns1:r>
                          <w:rPr>
                            <w:rFonts w:ascii="Times New Roman" w:hAnsi="Times New Roman" w:eastAsia="Times New Roman" w:cs="Times New Roman"/>
                          </w:rPr>
                          <ns1:t>j</ns1:t>
                        </ns1:r>
                      </ns1:lim>
                    </ns1:limLow>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num>
                  <ns1:den>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den>
                </ns1:f>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rPr>
        <w:t xml:space="preserve">(12)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Each cell aggregates five 500-sample rollouts, i.e., 2500 controller samples. The full-margin row tests the conservative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commissioned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certificate-aligned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unfiltered proposal violates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of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 perturbation-sample violations. GP mean correction reduces this count to 36/15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all in S3. Applying the independently 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S3 gives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across the nominal and six mismatch conditions. NMPC is also effective, with 35/17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rPr>
        <w:t xml:space="preserve">The full-margin row shows why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which requires feasibility of the original robust QP at every certified step.</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51.12%</w:t>
            </w:r>
          </w:p>
        </w:tc>
      </w:tr>
    </w:tbl>
    <w:p>
      <w:pPr>
        <w:pStyle w:val="3"/>
        <w:jc w:val="left"/>
        <w:ind w:firstLine="420"/>
      </w:pPr>
      <w:r>
        <w:rPr>
          <w:rFonts w:ascii="Times New Roman" w:hAnsi="Times New Roman" w:eastAsia="Times New Roman" w:cs="Times New Roman"/>
          <w:sz w:val="20"/>
          <w:szCs w:val="20"/>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91858"/>
            <ns2:effectExtent b="0" l="0" r="0" t="0"/>
            <ns2:docPr descr="" title="" id="120" name="Picture"/>
            <ns3:graphic>
              <ns3:graphicData uri="http://schemas.openxmlformats.org/drawingml/2006/picture">
                <ns4:pic>
                  <ns4:nvPicPr>
                    <ns4:cNvPr descr="figures/Figure_6_process_response.png" id="121" name="Picture"/>
                    <ns4:cNvPicPr>
                      <ns3:picLocks noChangeArrowheads="1" noChangeAspect="1"/>
                    </ns4:cNvPicPr>
                  </ns4:nvPicPr>
                  <ns4:blipFill>
                    <ns3:blip ns5:embed="rId119"/>
                    <ns3:stretch>
                      <ns3:fillRect/>
                    </ns3:stretch>
                  </ns4:blipFill>
                  <ns4:spPr bwMode="auto">
                    <ns3:xfrm>
                      <ns3:off x="0" y="0"/>
                      <ns3:ext cx="5006975" cy="339185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mechanism for representative seed 3 under the certificate-aligned S3 drift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counting tolerance defined in Eq. </w:t>
      </w:r>
      <w:r>
        <w:rPr>
          <w:rFonts w:ascii="Times New Roman" w:hAnsi="Times New Roman" w:eastAsia="Times New Roman" w:cs="Times New Roman"/>
          <w:sz w:val="20"/>
          <w:szCs w:val="20"/>
        </w:rPr>
        <w:t xml:space="preserve">(12)</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In this representative rollout, the no-GP HOCBF records 203/300 violations, GP mean correction reduces the count to 30/300, and the calibrated setting records 0/300. The corresponding minimum enthalpy margins are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-51.993</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-0.01996</w:t>
      </w:r>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+0.01028</w:t>
      </w:r>
      <w:r>
        <w:rPr>
          <w:rFonts w:ascii="Times New Roman" w:hAnsi="Times New Roman" w:eastAsia="Times New Roman" w:cs="Times New Roman"/>
          <w:sz w:val="20"/>
          <w:szCs w:val="20"/>
        </w:rPr>
        <w:t xml:space="preserve"> kJ/kg.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-51.993</w:t>
      </w:r>
      <w:r>
        <w:rPr>
          <w:rFonts w:ascii="Times New Roman" w:hAnsi="Times New Roman" w:eastAsia="Times New Roman" w:cs="Times New Roman"/>
          <w:sz w:val="20"/>
          <w:szCs w:val="20"/>
        </w:rPr>
        <w:t xml:space="preserve"> kJ/kg. GP mean correction limits the excursion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-0.01996</w:t>
      </w:r>
      <w:r>
        <w:rPr>
          <w:rFonts w:ascii="Times New Roman" w:hAnsi="Times New Roman" w:eastAsia="Times New Roman" w:cs="Times New Roman"/>
          <w:sz w:val="20"/>
          <w:szCs w:val="20"/>
        </w:rPr>
        <w:t xml:space="preserve"> kJ/kg but still leaves 30 samples below the stated numerical tolerance, whereas the calibrated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margin keeps the minimum positive at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+0.01028</w:t>
      </w:r>
      <w:r>
        <w:rPr>
          <w:rFonts w:ascii="Times New Roman" w:hAnsi="Times New Roman" w:eastAsia="Times New Roman" w:cs="Times New Roman"/>
          <w:sz w:val="20"/>
          <w:szCs w:val="20"/>
        </w:rPr>
        <w:t xml:space="preserve"> kJ/kg. The correction and event panels show that this change is produced by sustained QP intervention rather than by a different upstream proposal.</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124" name="Picture"/>
            <ns3:graphic>
              <ns3:graphicData uri="http://schemas.openxmlformats.org/drawingml/2006/picture">
                <ns4:pic>
                  <ns4:nvPicPr>
                    <ns4:cNvPr descr="figures/Figure_8_model_mismatch.png" id="125" name="Picture"/>
                    <ns4:cNvPicPr>
                      <ns3:picLocks noChangeArrowheads="1" noChangeAspect="1"/>
                    </ns4:cNvPicPr>
                  </ns4:nvPicPr>
                  <ns4:blipFill>
                    <ns3:blip ns5:embed="rId123"/>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certificate-aligned S3 drift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enthalpy-margin responses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GP-UCB envelope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β</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12.967</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500</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the GP-UCB bound; values below one lie inside the modeled envelope.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-12.0</w:t>
      </w:r>
      <w:r>
        <w:rPr>
          <w:rFonts w:ascii="Times New Roman" w:hAnsi="Times New Roman" w:eastAsia="Times New Roman" w:cs="Times New Roman"/>
          <w:sz w:val="20"/>
          <w:szCs w:val="20"/>
        </w:rPr>
        <w:t xml:space="preserve"> kJ/kg. The pressure and enthalpy panels show that this discrepancy is structured and learnable: the GP posterior mean tracks the realized drift residual, and the remaining error stays inside the GP-UCB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ns2:inline>
            <ns2:extent cx="5006975" cy="1973008"/>
            <ns2:effectExtent b="0" l="0" r="0" t="0"/>
            <ns2:docPr descr="" title="" id="128" name="Picture"/>
            <ns3:graphic>
              <ns3:graphicData uri="http://schemas.openxmlformats.org/drawingml/2006/picture">
                <ns4:pic>
                  <ns4:nvPicPr>
                    <ns4:cNvPr descr="figures/Figure_2.png" id="129" name="Picture"/>
                    <ns4:cNvPicPr>
                      <ns3:picLocks noChangeArrowheads="1" noChangeAspect="1"/>
                    </ns4:cNvPicPr>
                  </ns4:nvPicPr>
                  <ns4:blipFill>
                    <ns3:blip ns5:embed="rId127"/>
                    <ns3:stretch>
                      <ns3:fillRect/>
                    </ns3:stretch>
                  </ns4:blipFill>
                  <ns4:spPr bwMode="auto">
                    <ns3:xfrm>
                      <ns3:off x="0" y="0"/>
                      <ns3:ext cx="5006975" cy="197300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412/15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(2.747%). The smallest setting passing both gates is 0.02, with 19/15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(0.127%) and 20/15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(0.133%). After fixing this value, held-out seeds 3–4 give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133" name="Picture"/>
            <ns3:graphic>
              <ns3:graphicData uri="http://schemas.openxmlformats.org/drawingml/2006/picture">
                <ns4:pic>
                  <ns4:nvPicPr>
                    <ns4:cNvPr descr="figures/Figure_GP_data_sensitivity.png" id="134" name="Picture"/>
                    <ns4:cNvPicPr>
                      <ns3:picLocks noChangeArrowheads="1" noChangeAspect="1"/>
                    </ns4:cNvPicPr>
                  </ns4:nvPicPr>
                  <ns4:blipFill>
                    <ns3:blip ns5:embed="rId132"/>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288</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139" name="Picture"/>
            <ns3:graphic>
              <ns3:graphicData uri="http://schemas.openxmlformats.org/drawingml/2006/picture">
                <ns4:pic>
                  <ns4:nvPicPr>
                    <ns4:cNvPr descr="figures/Figure_9_production_historian.png" id="140" name="Picture"/>
                    <ns4:cNvPicPr>
                      <ns3:picLocks noChangeArrowheads="1" noChangeAspect="1"/>
                    </ns4:cNvPicPr>
                  </ns4:nvPicPr>
                  <ns4:blipFill>
                    <ns3:blip ns5:embed="rId138"/>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0.986</ns1:t>
        </ns1:r>
      </ns1:oMath>
      <w:r>
        <w:rPr>
          <w:rFonts w:ascii="Times New Roman" w:hAnsi="Times New Roman" w:eastAsia="Times New Roman" w:cs="Times New Roman"/>
          <w:sz w:val="20"/>
          <w:szCs w:val="20"/>
        </w:rPr>
        <w:t xml:space="preserve">) and fuel flow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0.980</ns1:t>
        </ns1:r>
      </ns1: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143" name="Picture"/>
            <ns3:graphic>
              <ns3:graphicData uri="http://schemas.openxmlformats.org/drawingml/2006/picture">
                <ns4:pic>
                  <ns4:nvPicPr>
                    <ns4:cNvPr descr="figures/Figure_10_production_retrofit_evidence.png" id="144" name="Picture"/>
                    <ns4:cNvPicPr>
                      <ns3:picLocks noChangeArrowheads="1" noChangeAspect="1"/>
                    </ns4:cNvPicPr>
                  </ns4:nvPicPr>
                  <ns4:blipFill>
                    <ns3:blip ns5:embed="rId142"/>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t</ns1:t>
            </ns1:r>
          </ns1:sub>
        </ns1:sSub>
      </ns1: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147" name="Picture"/>
            <ns3:graphic>
              <ns3:graphicData uri="http://schemas.openxmlformats.org/drawingml/2006/picture">
                <ns4:pic>
                  <ns4:nvPicPr>
                    <ns4:cNvPr descr="figures/Figure_11_controller_log_validation.png" id="148" name="Picture"/>
                    <ns4:cNvPicPr>
                      <ns3:picLocks noChangeArrowheads="1" noChangeAspect="1"/>
                    </ns4:cNvPicPr>
                  </ns4:nvPicPr>
                  <ns4:blipFill>
                    <ns3:blip ns5:embed="rId146"/>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sSub>
          <ns1:e>
            <ns1:r>
              <w:rPr>
                <w:rFonts w:ascii="Times New Roman" w:hAnsi="Times New Roman" w:eastAsia="Times New Roman" w:cs="Times New Roman"/>
              </w:rPr>
              <ns1:t>G</ns1:t>
            </ns1:r>
          </ns1:e>
          <ns1:sub>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0.03266</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0.00561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2.21654</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2.36306</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S</ns1:t>
        </ns1:r>
        <ns1:r>
          <w:rPr>
            <w:rFonts w:ascii="Times New Roman" w:hAnsi="Times New Roman" w:eastAsia="Times New Roman" w:cs="Times New Roman"/>
          </w:rPr>
          <ns1:t>T</ns1:t>
        </ns1:r>
        <ns1:r>
          <ns1:rPr>
            <ns1:sty ns1:val="p"/>
          </ns1:rPr>
          <w:rPr>
            <w:rFonts w:ascii="Times New Roman" w:hAnsi="Times New Roman" w:eastAsia="Times New Roman" w:cs="Times New Roman"/>
          </w:rPr>
          <ns1:t>_</ns1:t>
        </ns1:r>
        <ns1:r>
          <w:rPr>
            <w:rFonts w:ascii="Times New Roman" w:hAnsi="Times New Roman" w:eastAsia="Times New Roman" w:cs="Times New Roman"/>
          </w:rPr>
          <ns1:t>H</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h</ns1:t>
              </ns1:r>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certificate-aligned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756/15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mismatch-sample violations without a GP. Mean correction reduces that count to 36, and the independently 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gives 0/17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observed violations in the primary sweep. On held-out seeds, the fixed setting gives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Conversely, the full-margin endpoint can lose feasibility under actuator limits. The practical setting is therefore a finite-sample commissioning point, whereas the formal forward-invariance certificate remains attached only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GP-UCB event, the compositional residual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robust-QP feasibility.</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Wu L, Huang L, Wang Y, et al.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Feng YW, Li YH.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Ames AD, Coogan S, Egerstedt M, et al.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Xiao W, Belta C, Cassandras CG.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Rasmussen CE, Williams CKI. Gaussian processes for machine learning. MIT Press; 2006.</w:t>
      </w:r>
    </w:p>
    <w:p>
      <w:pPr>
        <w:pStyle w:val="18"/>
        <w:jc w:val="left"/>
        <w:ind w:left="360" w:hanging="360"/>
      </w:pPr>
      <w:r>
        <w:rPr>
          <w:rFonts w:ascii="Times New Roman" w:hAnsi="Times New Roman" w:eastAsia="Times New Roman" w:cs="Times New Roman"/>
          <w:sz w:val="20"/>
          <w:szCs w:val="20"/>
        </w:rPr>
        <w:t>[6] Srinivas N, Krause A, Kakade SM, et al.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Cheng R, Orosz G, Murray RM, et al.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Fisac JF, Akametalu AK, Zeilinger MN, et al.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Castañeda F, Choi JJ, Zhang B, et al.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Aali M, Liu J.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Zhang Y, Wen L, Bing Z, et al.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Åström KJ, Bell RD.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Li SY, Liu HB, Cai WJ, et al.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Tan W, Liu JZ, Fang F.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Liu X, Guan P, Chan CW.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Abdelbaky MA, Liu X, Kong X.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Liu JZ, Zeng DL, Tian L, et al.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Qin SJ, Badgwell TA.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Mayne DQ, Rawlings JB, Rao CV, et al.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Morari M, Lee JH.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Mayne DQ, Seron MM, Raković SV.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Mesbah A.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Hewing L, Kabzan J, Zeilinger MN.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Wieland P, Allgöwer F.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Jankovic M.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Taylor AJ, Singletary A, Yue Y, et al.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Long Q, Wang YT, Pan J.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Zeng J, Zhang B, Li Z, et al.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Agrawal A, Sreenath K.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Taylor AJ, Dorobantu VD, Cosner RK, et al.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Cosner RK, Yue Y, Ames AD.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Lederer A, Umlauft J, Hirche S.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Alburayt A, Syam WP. Bayesian machine learning for measurement noise estimation of focus variation microscopy instrument. Meas Control. 2026;59(6):857–69. doi:10.1177/00202940251374964</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90" Target="numbering.xml" /><Relationship Type="http://schemas.openxmlformats.org/officeDocument/2006/relationships/styles" Id="rId89" Target="styles.xml" /><Relationship Type="http://schemas.openxmlformats.org/officeDocument/2006/relationships/settings" Id="rId88" Target="settings.xml" /><Relationship Type="http://schemas.openxmlformats.org/officeDocument/2006/relationships/webSettings" Id="rId87" Target="webSettings.xml" /><Relationship Type="http://schemas.openxmlformats.org/officeDocument/2006/relationships/fontTable" Id="rId86" Target="fontTable.xml" /><Relationship Type="http://schemas.openxmlformats.org/officeDocument/2006/relationships/theme" Id="rId85" Target="theme/theme1.xml" /><Relationship Type="http://schemas.openxmlformats.org/officeDocument/2006/relationships/footnotes" Id="rId84" Target="footnotes.xml" /><Relationship Type="http://schemas.openxmlformats.org/officeDocument/2006/relationships/comments" Id="rId83" Target="comments.xml" /><Relationship Type="http://schemas.openxmlformats.org/officeDocument/2006/relationships/image" Id="rId103" Target="media/rId103.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38" Target="media/rId138.png" /><Relationship Type="http://schemas.openxmlformats.org/officeDocument/2006/relationships/image" Id="rId132" Target="media/rId132.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