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103.png" ContentType="image/png"/>
  <ns0:Override PartName="/word/media/rId142.png" ContentType="image/png"/>
  <ns0:Override PartName="/word/media/rId146.png" ContentType="image/png"/>
  <ns0:Override PartName="/word/media/rId127.png" ContentType="image/png"/>
  <ns0:Override PartName="/word/media/rId119.png" ContentType="image/png"/>
  <ns0:Override PartName="/word/media/rId123.png" ContentType="image/png"/>
  <ns0:Override PartName="/word/media/rId138.png" ContentType="image/png"/>
  <ns0:Override PartName="/word/media/rId132.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highlight w:val="yellow"/>
        </w:rPr>
        <w:t xml:space="preserve">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benchmark aligned with the certificate assumption</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the no-GP HOCBF produces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violations in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 samples; GP mean correction reduces this count to 36. The calibrated setting</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0.02</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in the primary sweep, while an independent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000-sample holdout test reports a 0.132% violation rate and 0.144% QP-rejection rate. The full-margin endpoint</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Boiler-turbine constraints do not all respond to actuation at the same order, so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needed to preserve the correct constraint dynamics. A uniform first-order CBF baseline would ignore these relative-degree differences, for example by treating the pressure constraint as if the input appeared in its first derivative. That baseline is structurally mismatched for this setting, independent of the separate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rPr>
        <w:t xml:space="preserve">For boiler-turbine control, the difficulty is structural. Pressure, separator enthalpy, and power constraints have different relative degrees, and residual uncertainty propagates through the HOCBF recursion rather than appearing only at the final constraint row. Applying the full theoretical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pressure, separator-enthalpy, and power constraints with their correct relative degrees.</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scalar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interpolates between mean-corrected operation and the full worst-case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and production-data validation.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validated on a fifth-order nonlinear boiler-turbine benchmark and bounded production historian records and controller-log exports from a 660 MW ultra-supercritical unit, including violation, intervention, feasibility, latency, and post-retrofit execution diagnostics.</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which is necessary when different process outputs respond to actuation at different orders.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The present work uses a continuous-time GP-HOCBF certificate as the conservative endpoint and treats the sampled implementation as an engineering boundary that must be verified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boiler–turbine DCS deployment, mixed pressure/enthalpy/power relative degrees,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rPr>
        <w:t xml:space="preserve">Online operation has three steps: evaluate the GP residual model, build HOCBF rows with the correct relative degrees,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theorem formalizes the conservative endpoint.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 feed, feedwater flow, and turbine-valve opening. The HOCBF and QP are formulated in the deviation-input space. With</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w:rPr>
            <w:rFonts w:ascii="Times New Roman" w:hAnsi="Times New Roman" w:eastAsia="Times New Roman" w:cs="Times New Roman"/>
          </w:rPr>
          <ns1:t>K</ns1:t>
        </ns1:r>
      </ns1:oMath>
      <w:r>
        <w:rPr>
          <w:rFonts w:ascii="Times New Roman" w:hAnsi="Times New Roman" w:eastAsia="Times New Roman" w:cs="Times New Roman"/>
          <w:sz w:val="20"/>
          <w:szCs w:val="20"/>
        </w:rPr>
        <w:t xml:space="preserve">, the stabilized deviation model used to build the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ξ</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K</ns1:t>
                    </ns1:r>
                  </ns1:sub>
                </ns1:sSub>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highlight w:val="yellow"/>
        </w:rPr>
        <w:t xml:space="preserve">Table 1. </w:t>
      </w:r>
      <w:r>
        <w:rPr>
          <w:rFonts w:ascii="Times New Roman" w:hAnsi="Times New Roman" w:eastAsia="Times New Roman" w:cs="Times New Roman"/>
          <w:sz w:val="20"/>
          <w:szCs w:val="20"/>
          <w:highlight w:val="yellow"/>
        </w:rPr>
        <w:t xml:space="preserve">Measurement/control variables and implementation settings used by the RoCBF-SF safety filter in the fifth-order CCS benchmark and plant implementation.</w:t>
      </w:r>
    </w:p>
    <w:tbl>
      <w:tblPr>
        <w:tblStyle w:val="Table"/>
        <w:tblW w:type="dxa" w:w="8500"/>
        <w:tblLook w:firstRow="1" w:lastRow="0" w:firstColumn="0" w:lastColumn="0" w:noHBand="0" w:noVBand="0" w:val="0020"/>
        <w:tblCaption w:val="Table 1. Measurement/control variables and implementation settings used by the RoCBF-SF safety filter in the fifth-order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state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State vector</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Five-state nominal predictor used to construct the benchmark dynamics and HOCBF rows.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 input/output</w:t>
            </w:r>
          </w:p>
        </w:tc>
        <w:tc>
          <w:tcPr>
            <w:tcW w:w="2200" w:type="dxa"/>
            <w:tcBorders>
              <w:top w:val="nil"/>
              <w:bottom w:val="nil"/>
              <w:left w:val="nil"/>
              <w:right w:val="nil"/>
              <w:insideH w:val="nil"/>
              <w:insideV w:val="nil"/>
            </w:tcBorders>
          </w:tcPr>
          <w:p>
            <w:pPr>
              <w:pStyle w:val="13"/>
              <w:jc w:val="left"/>
            </w:pPr>
            <ns1:oMath>
              <ns1:sSubSup>
                <ns1:e>
                  <ns1:r>
                    <w:rPr>
                      <w:rFonts w:ascii="Times New Roman" w:hAnsi="Times New Roman" w:eastAsia="Times New Roman" w:cs="Times New Roman"/>
                      <w:highlight w:val="yellow"/>
                    </w:rPr>
                    <ns1:t>x</ns1:t>
                  </ns1:r>
                </ns1:e>
                <ns1:sub>
                  <ns1:r>
                    <w:rPr>
                      <w:rFonts w:ascii="Times New Roman" w:hAnsi="Times New Roman" w:eastAsia="Times New Roman" w:cs="Times New Roman"/>
                      <w:highlight w:val="yellow"/>
                    </w:rPr>
                    <ns1:t>k</ns1:t>
                  </ns1:r>
                </ns1:sub>
                <ns1:sup>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sup>
              </ns1:sSubSup>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p</ns1:t>
                  </ns1:r>
                </ns1:e>
                <ns1:sub>
                  <ns1: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k</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h</ns1:t>
                  </ns1:r>
                </ns1:e>
                <ns1:sub>
                  <ns1: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k</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N</ns1:t>
                  </ns1:r>
                </ns1:e>
                <ns1:sub>
                  <ns1:r>
                    <w:rPr>
                      <w:rFonts w:ascii="Times New Roman" w:hAnsi="Times New Roman" w:eastAsia="Times New Roman" w:cs="Times New Roman"/>
                      <w:highlight w:val="yellow"/>
                    </w:rPr>
                    <ns1:t>e</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k</ns1:t>
                  </ns1:r>
                </ns1:sub>
              </ns1:sSub>
              <ns1:sSup>
                <ns1:e>
                  <ns1:r>
                    <ns1:rPr>
                      <ns1:sty ns1:val="p"/>
                    </ns1:rPr>
                    <w:rPr>
                      <w:rFonts w:ascii="Times New Roman" w:hAnsi="Times New Roman" w:eastAsia="Times New Roman" w:cs="Times New Roman"/>
                      <w:highlight w:val="yellow"/>
                    </w:rPr>
                    <ns1:t>]</ns1:t>
                  </ns1:r>
                </ns1:e>
                <ns1:sup>
                  <ns1:r>
                    <ns1:rPr>
                      <ns1:sty ns1:val="p"/>
                    </ns1:rPr>
                    <w:rPr>
                      <w:rFonts w:ascii="Times New Roman" w:hAnsi="Times New Roman" w:eastAsia="Times New Roman" w:cs="Times New Roman"/>
                      <w:highlight w:val="yellow"/>
                    </w:rPr>
                    <ns1:t>⊤</ns1:t>
                  </ns1:r>
                </ns1:sup>
              </ns1:sSup>
            </ns1: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Measured constrained outputs used by both benchmark and plant GPs; all five states and three proposed controls remain inputs to the nominal one-step predictor.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Input vector</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Coal feed, feedwater flow, and turbine valve opening; QP optimizes the deviation command</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18"/>
                <w:szCs w:val="18"/>
              </w:rPr>
              <w:t xml:space="preserv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Pressure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13–24 MPa;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18"/>
                <w:szCs w:val="18"/>
              </w:rPr>
              <w:t xml:space="preserve">-levels.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Active heat-absorption safety constraint.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Load-following and turbine-output safety constraint around the active dispatch target.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w:t>
            </w:r>
            <w:r>
              <w:rPr>
                <w:rFonts w:ascii="Times New Roman" w:hAnsi="Times New Roman" w:eastAsia="Times New Roman" w:cs="Times New Roman"/>
                <w:sz w:val="18"/>
                <w:szCs w:val="18"/>
                <w:highlight w:val="yellow"/>
              </w:rPr>
              <w:t xml:space="preserve"> </w:t>
            </w:r>
            <ns1:oMath>
              <ns1:sSub>
                <ns1:e>
                  <ns1:r>
                    <w:rPr>
                      <w:rFonts w:ascii="Times New Roman" w:hAnsi="Times New Roman" w:eastAsia="Times New Roman" w:cs="Times New Roman"/>
                      <w:highlight w:val="yellow"/>
                    </w:rPr>
                    <ns1:t>T</ns1:t>
                  </ns1:r>
                </ns1:e>
                <ns1:sub>
                  <ns1:r>
                    <w:rPr>
                      <w:rFonts w:ascii="Times New Roman" w:hAnsi="Times New Roman" w:eastAsia="Times New Roman" w:cs="Times New Roman"/>
                      <w:highlight w:val="yellow"/>
                    </w:rPr>
                    <ns1:t>s</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ns1:t>
              </ns1:r>
            </ns1:oMath>
            <w:r>
              <w:rPr>
                <w:rFonts w:ascii="Times New Roman" w:hAnsi="Times New Roman" w:eastAsia="Times New Roman" w:cs="Times New Roman"/>
                <w:sz w:val="18"/>
                <w:szCs w:val="18"/>
                <w:highlight w:val="yellow"/>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Online QP solved once per controller cycle; plant-validation exports use 5 s record spacing.</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Learns pressure, enthalpy, and power residual-rate means and posterior uncertainties; 200 time-isolated points are retained for validation.</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qpax, row scaling, box/rate constraints,</w:t>
            </w:r>
            <w:r>
              <w:rPr>
                <w:rFonts w:ascii="Times New Roman" w:hAnsi="Times New Roman" w:eastAsia="Times New Roman" w:cs="Times New Roman"/>
                <w:sz w:val="18"/>
                <w:szCs w:val="18"/>
                <w:highlight w:val="yellow"/>
              </w:rPr>
              <w:t xml:space="preserve"> </w:t>
            </w:r>
            <ns1:oMath>
              <ns1:sSup>
                <ns1:e>
                  <ns1:r>
                    <w:rPr>
                      <w:rFonts w:ascii="Times New Roman" w:hAnsi="Times New Roman" w:eastAsia="Times New Roman" w:cs="Times New Roman"/>
                      <w:highlight w:val="yellow"/>
                    </w:rPr>
                    <ns1:t>10</ns1:t>
                  </ns1:r>
                </ns1:e>
                <ns1: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6</ns1:t>
                  </ns1:r>
                </ns1:sup>
              </ns1:sSup>
            </ns1: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Projects</w:t>
            </w:r>
            <w:r>
              <w:rPr>
                <w:rFonts w:ascii="Times New Roman" w:hAnsi="Times New Roman" w:eastAsia="Times New Roman" w:cs="Times New Roman"/>
                <w:sz w:val="18"/>
                <w:szCs w:val="18"/>
                <w:highlight w:val="yellow"/>
              </w:rPr>
              <w:t xml:space="preserve"> </w:t>
            </w:r>
            <ns1:oMath>
              <ns1:sSub>
                <ns1:e>
                  <ns1:r>
                    <w:rPr>
                      <w:rFonts w:ascii="Times New Roman" w:hAnsi="Times New Roman" w:eastAsia="Times New Roman" w:cs="Times New Roman"/>
                      <w:highlight w:val="yellow"/>
                    </w:rPr>
                    <ns1:t>v</ns1:t>
                  </ns1:r>
                </ns1:e>
                <ns1:sub>
                  <ns1:r>
                    <ns1:rPr>
                      <ns1:sty ns1:val="p"/>
                    </ns1:rPr>
                    <w:rPr>
                      <w:rFonts w:ascii="Times New Roman" w:hAnsi="Times New Roman" w:eastAsia="Times New Roman" w:cs="Times New Roman"/>
                      <w:highlight w:val="yellow"/>
                    </w:rPr>
                    <ns1:t>p</ns1:t>
                  </ns1:r>
                  <ns1:r>
                    <ns1:rPr>
                      <ns1:sty ns1:val="p"/>
                    </ns1:rPr>
                    <w:rPr>
                      <w:rFonts w:ascii="Times New Roman" w:hAnsi="Times New Roman" w:eastAsia="Times New Roman" w:cs="Times New Roman"/>
                      <w:highlight w:val="yellow"/>
                    </w:rPr>
                    <ns1:t>r</ns1:t>
                  </ns1:r>
                  <ns1:r>
                    <ns1:rPr>
                      <ns1:sty ns1:val="p"/>
                    </ns1:rPr>
                    <w:rPr>
                      <w:rFonts w:ascii="Times New Roman" w:hAnsi="Times New Roman" w:eastAsia="Times New Roman" w:cs="Times New Roman"/>
                      <w:highlight w:val="yellow"/>
                    </w:rPr>
                    <ns1:t>o</ns1:t>
                  </ns1:r>
                  <ns1:r>
                    <ns1:rPr>
                      <ns1:sty ns1:val="p"/>
                    </ns1:rPr>
                    <w:rPr>
                      <w:rFonts w:ascii="Times New Roman" w:hAnsi="Times New Roman" w:eastAsia="Times New Roman" w:cs="Times New Roman"/>
                      <w:highlight w:val="yellow"/>
                    </w:rPr>
                    <ns1:t>p</ns1:t>
                  </ns1:r>
                </ns1:sub>
              </ns1:sSub>
            </ns1: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the nearest admissible</w:t>
            </w:r>
            <w:r>
              <w:rPr>
                <w:rFonts w:ascii="Times New Roman" w:hAnsi="Times New Roman" w:eastAsia="Times New Roman" w:cs="Times New Roman"/>
                <w:sz w:val="18"/>
                <w:szCs w:val="18"/>
                <w:highlight w:val="yellow"/>
              </w:rPr>
              <w:t xml:space="preserve"> </w:t>
            </w:r>
            <ns1:oMath>
              <ns1:sSup>
                <ns1:e>
                  <ns1:r>
                    <w:rPr>
                      <w:rFonts w:ascii="Times New Roman" w:hAnsi="Times New Roman" w:eastAsia="Times New Roman" w:cs="Times New Roman"/>
                      <w:highlight w:val="yellow"/>
                    </w:rPr>
                    <ns1:t>v</ns1:t>
                  </ns1:r>
                </ns1:e>
                <ns1:sup>
                  <ns1:r>
                    <ns1:rPr>
                      <ns1:sty ns1:val="p"/>
                    </ns1:rPr>
                    <w:rPr>
                      <w:rFonts w:ascii="Times New Roman" w:hAnsi="Times New Roman" w:eastAsia="Times New Roman" w:cs="Times New Roman"/>
                      <w:highlight w:val="yellow"/>
                    </w:rPr>
                    <ns1:t>*</ns1:t>
                  </ns1:r>
                </ns1:sup>
              </ns1:sSup>
            </ns1: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rejects non-converged or infeasible candidates.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One guarded</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rStyle w:val="VerbatimChar"/>
                <w:sz w:val="18"/>
                <w:szCs w:val="18"/>
                <w:highlight w:val="yellow"/>
              </w:rPr>
              <w:t xml:space="preserve">pressure_low</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The guarded retry is outside the full-row certificate; actuator rows are never removed.</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Field exports report QP and total-task timing against the deployed deadline.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AMD EPYC Embedded 4565P; 64 GB (2</w:t>
            </w:r>
            <w:r>
              <w:rPr>
                <w:rFonts w:ascii="Times New Roman" w:hAnsi="Times New Roman" w:eastAsia="Times New Roman" w:cs="Times New Roman"/>
                <w:sz w:val="18"/>
                <w:szCs w:val="18"/>
                <w:highlight w:val="yellow"/>
              </w:rPr>
              <w:t>×</w:t>
            </w:r>
            <w:r>
              <w:rPr>
                <w:rFonts w:ascii="Times New Roman" w:hAnsi="Times New Roman" w:eastAsia="Times New Roman" w:cs="Times New Roman"/>
                <w:sz w:val="18"/>
                <w:szCs w:val="18"/>
                <w:highlight w:val="yellow"/>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Deployed controller compute platform; data exchange with the DCS uses Modbus TCP.</w:t>
            </w:r>
          </w:p>
        </w:tc>
      </w:tr>
      <w:t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mean-corrected HOCBF constraints with the correct relative degree.</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arg min</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up>
                    <ns1:r>
                      <w:rPr>
                        <w:rFonts w:ascii="Times New Roman" w:hAnsi="Times New Roman" w:eastAsia="Times New Roman" w:cs="Times New Roman"/>
                      </w:rPr>
                      <ns1:t>2</ns1:t>
                    </ns1:r>
                  </ns1:sup>
                </ns1:sSubSup>
                <ns1:r>
                  <w:rPr>
                    <w:rFonts w:ascii="Times New Roman" w:hAnsi="Times New Roman" w:eastAsia="Times New Roman" w:cs="Times New Roman"/>
                  </w:rPr>
                  <ns1:t> </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highlight w:val="yellow"/>
        </w:rPr>
        <w:t xml:space="preserve">Notation summary.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benchmark state is</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r</ns1:t>
            </ns1:r>
          </ns1:e>
          <ns1:sub>
            <ns1:r>
              <w:rPr>
                <w:rFonts w:ascii="Times New Roman" w:hAnsi="Times New Roman" w:eastAsia="Times New Roman" w:cs="Times New Roman"/>
                <w:highlight w:val="yellow"/>
              </w:rPr>
              <ns1:t>B</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p</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h</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N</ns1:t>
            </ns1:r>
          </ns1:e>
          <ns1:sub>
            <ns1:r>
              <w:rPr>
                <w:rFonts w:ascii="Times New Roman" w:hAnsi="Times New Roman" w:eastAsia="Times New Roman" w:cs="Times New Roman"/>
                <w:highlight w:val="yellow"/>
              </w:rPr>
              <ns1:t>e</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τ</ns1:t>
            </ns1:r>
          </ns1:e>
          <ns1:sub>
            <ns1:r>
              <w:rPr>
                <w:rFonts w:ascii="Times New Roman" w:hAnsi="Times New Roman" w:eastAsia="Times New Roman" w:cs="Times New Roman"/>
                <w:highlight w:val="yellow"/>
              </w:rPr>
              <ns1:t>f</ns1:t>
            </ns1:r>
          </ns1:sub>
        </ns1:sSub>
        <ns1:sSup>
          <ns1:e>
            <ns1:r>
              <ns1:rPr>
                <ns1:sty ns1:val="p"/>
              </ns1:rPr>
              <w:rPr>
                <w:rFonts w:ascii="Times New Roman" w:hAnsi="Times New Roman" w:eastAsia="Times New Roman" w:cs="Times New Roman"/>
                <w:highlight w:val="yellow"/>
              </w:rPr>
              <ns1:t>]</ns1:t>
            </ns1:r>
          </ns1:e>
          <ns1:sup>
            <ns1:r>
              <ns1:rPr>
                <ns1:sty ns1:val="p"/>
              </ns1:rPr>
              <w:rPr>
                <w:rFonts w:ascii="Times New Roman" w:hAnsi="Times New Roman" w:eastAsia="Times New Roman" w:cs="Times New Roman"/>
                <w:highlight w:val="yellow"/>
              </w:rPr>
              <ns1:t>⊤</ns1:t>
            </ns1:r>
          </ns1:sup>
        </ns1:sSup>
      </ns1: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ξ</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x</ns1:t>
            </ns1:r>
          </ns1:e>
          <ns1:sub>
            <ns1:r>
              <w:rPr>
                <w:rFonts w:ascii="Times New Roman" w:hAnsi="Times New Roman" w:eastAsia="Times New Roman" w:cs="Times New Roman"/>
                <w:highlight w:val="yellow"/>
              </w:rPr>
              <ns1:t>0</ns1:t>
            </ns1:r>
          </ns1:sub>
        </ns1:sSub>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state. The physical actuator command is</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u</ns1:t>
        </ns1:r>
      </ns1:oMath>
      <w:r>
        <w:rPr>
          <w:rFonts w:ascii="Times New Roman" w:hAnsi="Times New Roman" w:eastAsia="Times New Roman" w:cs="Times New Roman"/>
          <w:sz w:val="20"/>
          <w:szCs w:val="20"/>
          <w:highlight w:val="yellow"/>
        </w:rPr>
        <w:t xml:space="preserve">, while</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v</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input optimized by the safety filter. The upstream controller proposes</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v</ns1:t>
            </ns1:r>
          </ns1:e>
          <ns1:sub>
            <ns1:r>
              <ns1:rPr>
                <ns1:sty ns1:val="p"/>
              </ns1:rPr>
              <w:rPr>
                <w:rFonts w:ascii="Times New Roman" w:hAnsi="Times New Roman" w:eastAsia="Times New Roman" w:cs="Times New Roman"/>
                <w:highlight w:val="yellow"/>
              </w:rPr>
              <ns1:t>p</ns1:t>
            </ns1:r>
            <ns1:r>
              <ns1:rPr>
                <ns1:sty ns1:val="p"/>
              </ns1:rPr>
              <w:rPr>
                <w:rFonts w:ascii="Times New Roman" w:hAnsi="Times New Roman" w:eastAsia="Times New Roman" w:cs="Times New Roman"/>
                <w:highlight w:val="yellow"/>
              </w:rPr>
              <ns1:t>r</ns1:t>
            </ns1:r>
            <ns1:r>
              <ns1:rPr>
                <ns1:sty ns1:val="p"/>
              </ns1:rPr>
              <w:rPr>
                <w:rFonts w:ascii="Times New Roman" w:hAnsi="Times New Roman" w:eastAsia="Times New Roman" w:cs="Times New Roman"/>
                <w:highlight w:val="yellow"/>
              </w:rPr>
              <ns1:t>o</ns1:t>
            </ns1:r>
            <ns1:r>
              <ns1:rPr>
                <ns1:sty ns1:val="p"/>
              </ns1:rPr>
              <w:rPr>
                <w:rFonts w:ascii="Times New Roman" w:hAnsi="Times New Roman" w:eastAsia="Times New Roman" w:cs="Times New Roman"/>
                <w:highlight w:val="yellow"/>
              </w:rPr>
              <ns1:t>p</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k</ns1:t>
            </ns1:r>
          </ns1:sub>
        </ns1:sSub>
      </ns1:oMath>
      <w:r>
        <w:rPr>
          <w:rFonts w:ascii="Times New Roman" w:hAnsi="Times New Roman" w:eastAsia="Times New Roman" w:cs="Times New Roman"/>
          <w:sz w:val="20"/>
          <w:szCs w:val="20"/>
          <w:highlight w:val="yellow"/>
        </w:rPr>
        <w:t xml:space="preserve">, the QP returns</w:t>
      </w:r>
      <w:r>
        <w:rPr>
          <w:rFonts w:ascii="Times New Roman" w:hAnsi="Times New Roman" w:eastAsia="Times New Roman" w:cs="Times New Roman"/>
          <w:sz w:val="20"/>
          <w:szCs w:val="20"/>
          <w:highlight w:val="yellow"/>
        </w:rPr>
        <w:t xml:space="preserve"> </w:t>
      </w:r>
      <ns1:oMath>
        <ns1:sSubSup>
          <ns1:e>
            <ns1:r>
              <w:rPr>
                <w:rFonts w:ascii="Times New Roman" w:hAnsi="Times New Roman" w:eastAsia="Times New Roman" w:cs="Times New Roman"/>
                <w:highlight w:val="yellow"/>
              </w:rPr>
              <ns1:t>v</ns1:t>
            </ns1:r>
          </ns1:e>
          <ns1:sub>
            <ns1:r>
              <w:rPr>
                <w:rFonts w:ascii="Times New Roman" w:hAnsi="Times New Roman" w:eastAsia="Times New Roman" w:cs="Times New Roman"/>
                <w:highlight w:val="yellow"/>
              </w:rPr>
              <ns1:t>k</ns1:t>
            </ns1:r>
          </ns1:sub>
          <ns1:sup>
            <ns1:r>
              <ns1:rPr>
                <ns1:sty ns1:val="p"/>
              </ns1:rPr>
              <w:rPr>
                <w:rFonts w:ascii="Times New Roman" w:hAnsi="Times New Roman" w:eastAsia="Times New Roman" w:cs="Times New Roman"/>
                <w:highlight w:val="yellow"/>
              </w:rPr>
              <ns1:t>*</ns1:t>
            </ns1:r>
          </ns1:sup>
        </ns1:sSubSup>
      </ns1:oMath>
      <w:r>
        <w:rPr>
          <w:rFonts w:ascii="Times New Roman" w:hAnsi="Times New Roman" w:eastAsia="Times New Roman" w:cs="Times New Roman"/>
          <w:sz w:val="20"/>
          <w:szCs w:val="20"/>
          <w:highlight w:val="yellow"/>
        </w:rPr>
        <w:t xml:space="preserve">, and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maps</w:t>
      </w:r>
      <w:r>
        <w:rPr>
          <w:rFonts w:ascii="Times New Roman" w:hAnsi="Times New Roman" w:eastAsia="Times New Roman" w:cs="Times New Roman"/>
          <w:sz w:val="20"/>
          <w:szCs w:val="20"/>
          <w:highlight w:val="yellow"/>
        </w:rPr>
        <w:t xml:space="preserve"> </w:t>
      </w:r>
      <ns1:oMath>
        <ns1:sSubSup>
          <ns1:e>
            <ns1:r>
              <w:rPr>
                <w:rFonts w:ascii="Times New Roman" w:hAnsi="Times New Roman" w:eastAsia="Times New Roman" w:cs="Times New Roman"/>
                <w:highlight w:val="yellow"/>
              </w:rPr>
              <ns1:t>v</ns1:t>
            </ns1:r>
          </ns1:e>
          <ns1:sub>
            <ns1:r>
              <w:rPr>
                <w:rFonts w:ascii="Times New Roman" w:hAnsi="Times New Roman" w:eastAsia="Times New Roman" w:cs="Times New Roman"/>
                <w:highlight w:val="yellow"/>
              </w:rPr>
              <ns1:t>k</ns1:t>
            </ns1:r>
          </ns1:sub>
          <ns1:sup>
            <ns1:r>
              <ns1:rPr>
                <ns1:sty ns1:val="p"/>
              </ns1:rPr>
              <w:rPr>
                <w:rFonts w:ascii="Times New Roman" w:hAnsi="Times New Roman" w:eastAsia="Times New Roman" w:cs="Times New Roman"/>
                <w:highlight w:val="yellow"/>
              </w:rPr>
              <ns1:t>*</ns1:t>
            </ns1:r>
          </ns1:sup>
        </ns1:sSubSup>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back to the physical actuator command. The HOCBF rows are written as</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v</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b</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deviation-input form. The term</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σ</ns1:t>
            </ns1:r>
          </ns1:e>
          <ns1:sub>
            <ns1:r>
              <ns1:rPr>
                <ns1:sty ns1:val="p"/>
              </ns1:rPr>
              <w:rPr>
                <w:rFonts w:ascii="Times New Roman" w:hAnsi="Times New Roman" w:eastAsia="Times New Roman" w:cs="Times New Roman"/>
                <w:highlight w:val="yellow"/>
              </w:rPr>
              <ns1:t>t</ns1:t>
            </ns1:r>
            <ns1:r>
              <ns1:rPr>
                <ns1:sty ns1:val="p"/>
              </ns1:rPr>
              <w:rPr>
                <w:rFonts w:ascii="Times New Roman" w:hAnsi="Times New Roman" w:eastAsia="Times New Roman" w:cs="Times New Roman"/>
                <w:highlight w:val="yellow"/>
              </w:rPr>
              <ns1:t>o</ns1:t>
            </ns1:r>
            <ns1:r>
              <ns1:rPr>
                <ns1:sty ns1:val="p"/>
              </ns1:rPr>
              <w:rPr>
                <w:rFonts w:ascii="Times New Roman" w:hAnsi="Times New Roman" w:eastAsia="Times New Roman" w:cs="Times New Roman"/>
                <w:highlight w:val="yellow"/>
              </w:rPr>
              <ns1:t>t</ns1:t>
            </ns1:r>
            <ns1:r>
              <ns1:rPr>
                <ns1:sty ns1:val="p"/>
              </ns1:rP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l</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compositional GP-HOCBF margin, and</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commissioning factor multiplying that margin.</w:t>
      </w:r>
    </w:p>
    <w:p>
      <w:pPr>
        <w:pStyle w:val="3"/>
        <w:jc w:val="left"/>
        <w:ind w:firstLine="420"/>
      </w:pPr>
      <w:r>
        <w:rPr>
          <w:rFonts w:ascii="Times New Roman" w:hAnsi="Times New Roman" w:eastAsia="Times New Roman" w:cs="Times New Roman"/>
          <w:sz w:val="20"/>
          <w:szCs w:val="20"/>
          <w:highlight w:val="yellow"/>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highlight w:val="yellow"/>
                      </w:rPr>
                      <ns1:t>x</ns1:t>
                    </ns1:r>
                  </ns1:e>
                  <ns1:sub>
                    <ns1:r>
                      <w:rPr>
                        <w:rFonts w:ascii="Times New Roman" w:hAnsi="Times New Roman" w:eastAsia="Times New Roman" w:cs="Times New Roman"/>
                        <w:highlight w:val="yellow"/>
                      </w:rPr>
                      <ns1:t>k</ns1:t>
                    </ns1:r>
                  </ns1:sub>
                  <ns1:sup>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sup>
                </ns1:sSubSup>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p</ns1:t>
                    </ns1:r>
                  </ns1:e>
                  <ns1:sub>
                    <ns1: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k</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h</ns1:t>
                    </ns1:r>
                  </ns1:e>
                  <ns1:sub>
                    <ns1: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k</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N</ns1:t>
                    </ns1:r>
                  </ns1:e>
                  <ns1:sub>
                    <ns1:r>
                      <w:rPr>
                        <w:rFonts w:ascii="Times New Roman" w:hAnsi="Times New Roman" w:eastAsia="Times New Roman" w:cs="Times New Roman"/>
                        <w:highlight w:val="yellow"/>
                      </w:rPr>
                      <ns1:t>e</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k</ns1:t>
                    </ns1:r>
                  </ns1:sub>
                </ns1:sSub>
                <ns1:sSup>
                  <ns1:e>
                    <ns1:r>
                      <ns1:rPr>
                        <ns1:sty ns1:val="p"/>
                      </ns1:rPr>
                      <w:rPr>
                        <w:rFonts w:ascii="Times New Roman" w:hAnsi="Times New Roman" w:eastAsia="Times New Roman" w:cs="Times New Roman"/>
                        <w:highlight w:val="yellow"/>
                      </w:rPr>
                      <ns1:t>]</ns1:t>
                    </ns1:r>
                  </ns1:e>
                  <ns1:sup>
                    <ns1:r>
                      <ns1:rPr>
                        <ns1:sty ns1:val="p"/>
                      </ns1:rPr>
                      <w:rPr>
                        <w:rFonts w:ascii="Times New Roman" w:hAnsi="Times New Roman" w:eastAsia="Times New Roman" w:cs="Times New Roman"/>
                        <w:highlight w:val="yellow"/>
                      </w:rPr>
                      <ns1:t>⊤</ns1:t>
                    </ns1:r>
                  </ns1:sup>
                </ns1:sSup>
                <ns1:r>
                  <ns1:rPr>
                    <ns1:sty ns1:val="p"/>
                  </ns1:rPr>
                  <w:rPr>
                    <w:rFonts w:ascii="Times New Roman" w:hAnsi="Times New Roman" w:eastAsia="Times New Roman" w:cs="Times New Roman"/>
                    <w:highlight w:val="yellow"/>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(4)</w:t>
            </w:r>
          </w:p>
        </w:tc>
      </w:tr>
    </w:tbl>
    <w:p>
      <w:pPr>
        <w:pStyle w:val="11"/>
        <w:jc w:val="left"/>
        <w:ind w:firstLine="420"/>
      </w:pPr>
      <w:r>
        <w:rPr>
          <w:rFonts w:ascii="Times New Roman" w:hAnsi="Times New Roman" w:eastAsia="Times New Roman" w:cs="Times New Roman"/>
          <w:sz w:val="20"/>
          <w:szCs w:val="20"/>
          <w:highlight w:val="yellow"/>
        </w:rPr>
        <w:t xml:space="preserve">Three independent GPs model the corresponding one-step nominal-model residual rates. The benchmark target is</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x</ns1:t>
            </ns1:r>
          </ns1:e>
          <ns1:sub>
            <ns1:r>
              <w:rPr>
                <w:rFonts w:ascii="Times New Roman" w:hAnsi="Times New Roman" w:eastAsia="Times New Roman" w:cs="Times New Roman"/>
                <w:highlight w:val="yellow"/>
              </w:rPr>
              <ns1:t>k</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J</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sub>
            </ns1:sSub>
          </ns1:sub>
        </ns1:sSub>
        <ns1:r>
          <ns1:rPr>
            <ns1:sty ns1:val="p"/>
          </ns1:rPr>
          <w:rPr>
            <w:rFonts w:ascii="Times New Roman" w:hAnsi="Times New Roman" w:eastAsia="Times New Roman" w:cs="Times New Roman"/>
            <w:highlight w:val="yellow"/>
          </w:rPr>
          <ns1:t>−</ns1:t>
        </ns1:r>
        <ns1:sSubSup>
          <ns1:e>
            <ns1:acc>
              <ns1:accPr>
                <ns1:chr ns1:val="̂"/>
              </ns1:accPr>
              <ns1:e>
                <ns1:r>
                  <w:rPr>
                    <w:rFonts w:ascii="Times New Roman" w:hAnsi="Times New Roman" w:eastAsia="Times New Roman" w:cs="Times New Roman"/>
                    <w:highlight w:val="yellow"/>
                  </w:rPr>
                  <ns1:t>x</ns1:t>
                </ns1:r>
              </ns1:e>
            </ns1:acc>
          </ns1:e>
          <ns1:sub>
            <ns1:r>
              <w:rPr>
                <w:rFonts w:ascii="Times New Roman" w:hAnsi="Times New Roman" w:eastAsia="Times New Roman" w:cs="Times New Roman"/>
                <w:highlight w:val="yellow"/>
              </w:rPr>
              <ns1:t>k</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k</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J</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sub>
            </ns1:sSub>
          </ns1:sub>
          <ns1:sup>
            <ns1:r>
              <ns1:rPr>
                <ns1:sty ns1:val="p"/>
              </ns1:rPr>
              <w:rPr>
                <w:rFonts w:ascii="Times New Roman" w:hAnsi="Times New Roman" w:eastAsia="Times New Roman" w:cs="Times New Roman"/>
                <w:highlight w:val="yellow"/>
              </w:rPr>
              <ns1:t>n</ns1:t>
            </ns1:r>
            <ns1:r>
              <ns1:rPr>
                <ns1:sty ns1:val="p"/>
              </ns1:rPr>
              <w:rPr>
                <w:rFonts w:ascii="Times New Roman" w:hAnsi="Times New Roman" w:eastAsia="Times New Roman" w:cs="Times New Roman"/>
                <w:highlight w:val="yellow"/>
              </w:rPr>
              <ns1:t>o</ns1:t>
            </ns1:r>
            <ns1:r>
              <ns1:rPr>
                <ns1:sty ns1:val="p"/>
              </ns1:rPr>
              <w:rPr>
                <w:rFonts w:ascii="Times New Roman" w:hAnsi="Times New Roman" w:eastAsia="Times New Roman" w:cs="Times New Roman"/>
                <w:highlight w:val="yellow"/>
              </w:rPr>
              <ns1:t>m</ns1:t>
            </ns1:r>
          </ns1:sup>
        </ns1:sSubSup>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T</ns1:t>
            </ns1:r>
          </ns1:e>
          <ns1:sub>
            <ns1:r>
              <w:rPr>
                <w:rFonts w:ascii="Times New Roman" w:hAnsi="Times New Roman" w:eastAsia="Times New Roman" w:cs="Times New Roman"/>
                <w:highlight w:val="yellow"/>
              </w:rPr>
              <ns1:t>s</ns1:t>
            </ns1:r>
          </ns1:sub>
        </ns1:sSub>
      </ns1: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J</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sub>
        </ns1:sSub>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p</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h</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N</ns1:t>
            </ns1:r>
          </ns1:e>
          <ns1:sub>
            <ns1:r>
              <w:rPr>
                <w:rFonts w:ascii="Times New Roman" w:hAnsi="Times New Roman" w:eastAsia="Times New Roman" w:cs="Times New Roman"/>
                <w:highlight w:val="yellow"/>
              </w:rPr>
              <ns1:t>e</ns1:t>
            </ns1:r>
          </ns1:sub>
        </ns1:sSub>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The full nominal predictor uses all five states and all three control deviations; fuel, feedwater, and turbine-valve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highlight w:val="yellow"/>
        </w:rPr>
        <w:t xml:space="preserve">Operating-point interpretation.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denotes the complete safety-filter design in Fig.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oMath>
      <w:r>
        <w:rPr>
          <w:rFonts w:ascii="Times New Roman" w:hAnsi="Times New Roman" w:eastAsia="Times New Roman" w:cs="Times New Roman"/>
          <w:sz w:val="20"/>
          <w:szCs w:val="20"/>
          <w:highlight w:val="yellow"/>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mean correction alone,</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full worst-case margin, and Section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x</ns1:t>
                    </ns1:r>
                  </ns1:e>
                </ns1:acc>
                <ns1:r>
                  <ns1:rPr>
                    <ns1:sty ns1:val="p"/>
                  </ns1:rPr>
                  <w:rPr>
                    <w:rFonts w:ascii="Times New Roman" w:hAnsi="Times New Roman" w:eastAsia="Times New Roman" w:cs="Times New Roman"/>
                  </w:rPr>
                  <ns1:t>=</ns1:t>
                </ns1:r>
                <ns1:limLow>
                  <ns1:e>
                    <ns1:limLow>
                      <ns1:e>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nominal</ns1:t>
                    </ns1:r>
                  </ns1:lim>
                </ns1:limLow>
                <ns1:r>
                  <ns1:rPr>
                    <ns1:sty ns1:val="p"/>
                  </ns1:rPr>
                  <w:rPr>
                    <w:rFonts w:ascii="Times New Roman" w:hAnsi="Times New Roman" w:eastAsia="Times New Roman" w:cs="Times New Roman"/>
                  </w:rPr>
                  <ns1:t>+</ns1:t>
                </ns1:r>
                <ns1:limLow>
                  <ns1:e>
                    <ns1:limLow>
                      <ns1:e>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residual</ns1:t>
                    </ns1:r>
                  </ns1:lim>
                </ns1:limLow>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n</ns1:t>
                    </ns1:r>
                  </ns1:sup>
                </ns1:sSup>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m</ns1:t>
                    </ns1:r>
                  </ns1:sup>
                </ns1:sSup>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six scalar safety barriers used in the benchmark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2670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2830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(6)</w:t>
            </w:r>
          </w:p>
        </w:tc>
      </w:tr>
    </w:tbl>
    <w:p>
      <w:pPr>
        <w:pStyle w:val="11"/>
        <w:jc w:val="left"/>
        <w:ind w:firstLine="420"/>
      </w:pPr>
      <w:r>
        <w:rPr>
          <w:rFonts w:ascii="Times New Roman" w:hAnsi="Times New Roman" w:eastAsia="Times New Roman" w:cs="Times New Roman"/>
          <w:sz w:val="20"/>
          <w:szCs w:val="20"/>
        </w:rPr>
        <w:t xml:space="preserve">Pressure barriers use relative degree two, while separator-enthalpy and power barriers use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ψ</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m</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(7)</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exact-model rows in deviation-input form,</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This preserves the bookkeeping between pressure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20"/>
          <w:szCs w:val="20"/>
        </w:rPr>
        <w:t xml:space="preserve">) and enthalpy/power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constraints while keeping the QP decision variable equal to</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ns2:inline>
            <ns2:extent cx="5270500" cy="2635250"/>
            <ns2:effectExtent b="0" l="0" r="0" t="0"/>
            <ns2:docPr descr="" title="" id="104" name="Picture"/>
            <ns3:graphic>
              <ns3:graphicData uri="http://schemas.openxmlformats.org/drawingml/2006/picture">
                <ns4:pic>
                  <ns4:nvPicPr>
                    <ns4:cNvPr descr="figures/Figure_1.png" id="105" name="Picture"/>
                    <ns4:cNvPicPr>
                      <ns3:picLocks noChangeArrowheads="1" noChangeAspect="1"/>
                    </ns4:cNvPicPr>
                  </ns4:nvPicPr>
                  <ns4:blipFill>
                    <ns3:blip ns5:embed="rId103"/>
                    <ns3:stretch>
                      <ns3:fillRect/>
                    </ns3:stretch>
                  </ns4:blipFill>
                  <ns4:spPr bwMode="auto">
                    <ns3:xfrm>
                      <ns3:off x="0" y="0"/>
                      <ns3:ext cx="5270500" cy="2635250"/>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the selected margin through</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physical actuator command is then reconstructed 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highlight w:val="yellow"/>
        </w:rPr>
        <w:t xml:space="preserve">Each modeled component of</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sSub>
          <ns1:e>
            <ns1:r>
              <w:rPr>
                <w:rFonts w:ascii="Times New Roman" w:hAnsi="Times New Roman" w:eastAsia="Times New Roman" w:cs="Times New Roman"/>
                <w:highlight w:val="yellow"/>
              </w:rPr>
              <ns1:t>f</ns1:t>
            </ns1:r>
          </ns1:e>
          <ns1:sub>
            <ns1:r>
              <w:rPr>
                <w:rFonts w:ascii="Times New Roman" w:hAnsi="Times New Roman" w:eastAsia="Times New Roman" w:cs="Times New Roman"/>
                <w:highlight w:val="yellow"/>
              </w:rPr>
              <ns1:t>j</ns1:t>
            </ns1:r>
          </ns1:sub>
        </ns1:sSub>
      </ns1: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j</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J</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sub>
        </ns1:sSub>
      </ns1:oMath>
      <w:r>
        <w:rPr>
          <w:rFonts w:ascii="Times New Roman" w:hAnsi="Times New Roman" w:eastAsia="Times New Roman" w:cs="Times New Roman"/>
          <w:sz w:val="20"/>
          <w:szCs w:val="20"/>
          <w:highlight w:val="yellow"/>
        </w:rPr>
        <w:t xml:space="preserve">, is represented by an independent GP with a Matérn-5/2 kernel. Kernel distances use the frozen training transform</w:t>
      </w:r>
      <w:r>
        <w:rPr>
          <w:rFonts w:ascii="Times New Roman" w:hAnsi="Times New Roman" w:eastAsia="Times New Roman" w:cs="Times New Roman"/>
          <w:sz w:val="20"/>
          <w:szCs w:val="20"/>
          <w:highlight w:val="yellow"/>
        </w:rPr>
        <w:t xml:space="preserve"> </w:t>
      </w:r>
      <ns1:oMath>
        <ns1:sSub>
          <ns1:e>
            <ns1:acc>
              <ns1:accPr>
                <ns1:chr ns1:val="̃"/>
              </ns1:accPr>
              <ns1:e>
                <ns1:r>
                  <w:rPr>
                    <w:rFonts w:ascii="Times New Roman" w:hAnsi="Times New Roman" w:eastAsia="Times New Roman" w:cs="Times New Roman"/>
                    <w:highlight w:val="yellow"/>
                  </w:rPr>
                  <ns1:t>x</ns1:t>
                </ns1:r>
              </ns1:e>
            </ns1:acc>
          </ns1:e>
          <ns1:sub>
            <ns1:r>
              <w:rPr>
                <w:rFonts w:ascii="Times New Roman" w:hAnsi="Times New Roman" w:eastAsia="Times New Roman" w:cs="Times New Roman"/>
                <w:highlight w:val="yellow"/>
              </w:rPr>
              <ns1:t>i</ns1:t>
            </ns1:r>
          </ns1:sub>
        </ns1:sSub>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x</ns1:t>
            </ns1:r>
          </ns1:e>
          <ns1:sub>
            <ns1:r>
              <w:rPr>
                <w:rFonts w:ascii="Times New Roman" w:hAnsi="Times New Roman" w:eastAsia="Times New Roman" w:cs="Times New Roman"/>
                <w:highlight w:val="yellow"/>
              </w:rPr>
              <ns1:t>i</ns1:t>
            </ns1:r>
          </ns1:sub>
        </ns1:sSub>
        <ns1:r>
          <ns1:rPr>
            <ns1:sty ns1:val="p"/>
          </ns1:rPr>
          <w:rPr>
            <w:rFonts w:ascii="Times New Roman" w:hAnsi="Times New Roman" w:eastAsia="Times New Roman" w:cs="Times New Roman"/>
            <w:highlight w:val="yellow"/>
          </w:rPr>
          <ns1:t>−</ns1:t>
        </ns1:r>
        <ns1:sSubSup>
          <ns1:e>
            <ns1:r>
              <w:rPr>
                <w:rFonts w:ascii="Times New Roman" w:hAnsi="Times New Roman" w:eastAsia="Times New Roman" w:cs="Times New Roman"/>
                <w:highlight w:val="yellow"/>
              </w:rPr>
              <ns1:t>μ</ns1:t>
            </ns1:r>
          </ns1:e>
          <ns1:sub>
            <ns1:sSub>
              <ns1:e>
                <ns1:r>
                  <w:rPr>
                    <w:rFonts w:ascii="Times New Roman" w:hAnsi="Times New Roman" w:eastAsia="Times New Roman" w:cs="Times New Roman"/>
                    <w:highlight w:val="yellow"/>
                  </w:rPr>
                  <ns1:t>x</ns1:t>
                </ns1:r>
              </ns1:e>
              <ns1:sub>
                <ns1:r>
                  <w:rPr>
                    <w:rFonts w:ascii="Times New Roman" w:hAnsi="Times New Roman" w:eastAsia="Times New Roman" w:cs="Times New Roman"/>
                    <w:highlight w:val="yellow"/>
                  </w:rPr>
                  <ns1:t>i</ns1:t>
                </ns1:r>
              </ns1:sub>
            </ns1:sSub>
          </ns1:sub>
          <ns1:sup>
            <ns1:r>
              <ns1:rPr>
                <ns1:sty ns1:val="p"/>
              </ns1:rPr>
              <w:rPr>
                <w:rFonts w:ascii="Times New Roman" w:hAnsi="Times New Roman" w:eastAsia="Times New Roman" w:cs="Times New Roman"/>
                <w:highlight w:val="yellow"/>
              </w:rPr>
              <ns1:t>t</ns1:t>
            </ns1:r>
            <ns1:r>
              <ns1:rPr>
                <ns1:sty ns1:val="p"/>
              </ns1:rPr>
              <w:rPr>
                <w:rFonts w:ascii="Times New Roman" w:hAnsi="Times New Roman" w:eastAsia="Times New Roman" w:cs="Times New Roman"/>
                <w:highlight w:val="yellow"/>
              </w:rPr>
              <ns1:t>r</ns1:t>
            </ns1:r>
            <ns1:r>
              <ns1:rPr>
                <ns1:sty ns1:val="p"/>
              </ns1:rP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i</ns1:t>
            </ns1:r>
            <ns1:r>
              <ns1:rPr>
                <ns1:sty ns1:val="p"/>
              </ns1:rPr>
              <w:rPr>
                <w:rFonts w:ascii="Times New Roman" w:hAnsi="Times New Roman" w:eastAsia="Times New Roman" w:cs="Times New Roman"/>
                <w:highlight w:val="yellow"/>
              </w:rPr>
              <ns1:t>n</ns1:t>
            </ns1:r>
          </ns1:sup>
        </ns1:sSubSup>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Sup>
          <ns1:e>
            <ns1:r>
              <w:rPr>
                <w:rFonts w:ascii="Times New Roman" w:hAnsi="Times New Roman" w:eastAsia="Times New Roman" w:cs="Times New Roman"/>
                <w:highlight w:val="yellow"/>
              </w:rPr>
              <ns1:t>s</ns1:t>
            </ns1:r>
          </ns1:e>
          <ns1:sub>
            <ns1:sSub>
              <ns1:e>
                <ns1:r>
                  <w:rPr>
                    <w:rFonts w:ascii="Times New Roman" w:hAnsi="Times New Roman" w:eastAsia="Times New Roman" w:cs="Times New Roman"/>
                    <w:highlight w:val="yellow"/>
                  </w:rPr>
                  <ns1:t>x</ns1:t>
                </ns1:r>
              </ns1:e>
              <ns1:sub>
                <ns1:r>
                  <w:rPr>
                    <w:rFonts w:ascii="Times New Roman" w:hAnsi="Times New Roman" w:eastAsia="Times New Roman" w:cs="Times New Roman"/>
                    <w:highlight w:val="yellow"/>
                  </w:rPr>
                  <ns1:t>i</ns1:t>
                </ns1:r>
              </ns1:sub>
            </ns1:sSub>
          </ns1:sub>
          <ns1:sup>
            <ns1:r>
              <ns1:rPr>
                <ns1:sty ns1:val="p"/>
              </ns1:rPr>
              <w:rPr>
                <w:rFonts w:ascii="Times New Roman" w:hAnsi="Times New Roman" w:eastAsia="Times New Roman" w:cs="Times New Roman"/>
                <w:highlight w:val="yellow"/>
              </w:rPr>
              <ns1:t>t</ns1:t>
            </ns1:r>
            <ns1:r>
              <ns1:rPr>
                <ns1:sty ns1:val="p"/>
              </ns1:rPr>
              <w:rPr>
                <w:rFonts w:ascii="Times New Roman" w:hAnsi="Times New Roman" w:eastAsia="Times New Roman" w:cs="Times New Roman"/>
                <w:highlight w:val="yellow"/>
              </w:rPr>
              <ns1:t>r</ns1:t>
            </ns1:r>
            <ns1:r>
              <ns1:rPr>
                <ns1:sty ns1:val="p"/>
              </ns1:rP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i</ns1:t>
            </ns1:r>
            <ns1:r>
              <ns1:rPr>
                <ns1:sty ns1:val="p"/>
              </ns1:rPr>
              <w:rPr>
                <w:rFonts w:ascii="Times New Roman" w:hAnsi="Times New Roman" w:eastAsia="Times New Roman" w:cs="Times New Roman"/>
                <w:highlight w:val="yellow"/>
              </w:rPr>
              <ns1:t>n</ns1:t>
            </ns1:r>
          </ns1:sup>
        </ns1:sSubSup>
      </ns1:oMath>
      <w:r>
        <w:rPr>
          <w:rFonts w:ascii="Times New Roman" w:hAnsi="Times New Roman" w:eastAsia="Times New Roman" w:cs="Times New Roman"/>
          <w:sz w:val="20"/>
          <w:szCs w:val="20"/>
          <w:highlight w:val="yellow"/>
        </w:rPr>
        <w:t xml:space="preserve">; the standard-deviation floor is</w:t>
      </w:r>
      <w:r>
        <w:rPr>
          <w:rFonts w:ascii="Times New Roman" w:hAnsi="Times New Roman" w:eastAsia="Times New Roman" w:cs="Times New Roman"/>
          <w:sz w:val="20"/>
          <w:szCs w:val="20"/>
          <w:highlight w:val="yellow"/>
        </w:rPr>
        <w:t xml:space="preserve"> </w:t>
      </w:r>
      <ns1:oMath>
        <ns1:sSup>
          <ns1:e>
            <ns1:r>
              <w:rPr>
                <w:rFonts w:ascii="Times New Roman" w:hAnsi="Times New Roman" w:eastAsia="Times New Roman" w:cs="Times New Roman"/>
                <w:highlight w:val="yellow"/>
              </w:rPr>
              <ns1:t>10</ns1:t>
            </ns1:r>
          </ns1:e>
          <ns1: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6</ns1:t>
            </ns1:r>
          </ns1:sup>
        </ns1:sSup>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N</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training points, the posterior provides mean</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μ</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j</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variance</w:t>
      </w:r>
      <w:r>
        <w:rPr>
          <w:rFonts w:ascii="Times New Roman" w:hAnsi="Times New Roman" w:eastAsia="Times New Roman" w:cs="Times New Roman"/>
          <w:sz w:val="20"/>
          <w:szCs w:val="20"/>
          <w:highlight w:val="yellow"/>
        </w:rPr>
        <w:t xml:space="preserve"> </w:t>
      </w:r>
      <ns1:oMath>
        <ns1:sSubSup>
          <ns1:e>
            <ns1:r>
              <w:rPr>
                <w:rFonts w:ascii="Times New Roman" w:hAnsi="Times New Roman" w:eastAsia="Times New Roman" w:cs="Times New Roman"/>
                <w:highlight w:val="yellow"/>
              </w:rPr>
              <ns1:t>σ</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j</ns1:t>
            </ns1:r>
          </ns1:sub>
          <ns1:sup>
            <ns1:r>
              <w:rPr>
                <w:rFonts w:ascii="Times New Roman" w:hAnsi="Times New Roman" w:eastAsia="Times New Roman" w:cs="Times New Roman"/>
                <w:highlight w:val="yellow"/>
              </w:rPr>
              <ns1:t>2</ns1:t>
            </ns1:r>
          </ns1:sup>
        </ns1:sSub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The GP-UCB bound gives: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ns1:rPr>
                    <ns1:nor/>
                    <ns1:sty ns1:val="p"/>
                  </ns1:rPr>
                  <w:rPr>
                    <w:rFonts w:ascii="Times New Roman" w:hAnsi="Times New Roman" w:eastAsia="Times New Roman" w:cs="Times New Roman"/>
                  </w:rPr>
                  <ns1:t>w.p.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w:rPr>
                    <w:rFonts w:ascii="Times New Roman" w:hAnsi="Times New Roman" w:eastAsia="Times New Roman" w:cs="Times New Roman"/>
                  </w:rPr>
                  <ns1:t>n</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(8)</w:t>
            </w:r>
          </w:p>
        </w:tc>
      </w:tr>
    </w:tbl>
    <w:p>
      <w:pPr>
        <w:pStyle w:val="11"/>
        <w:jc w:val="left"/>
        <w:ind w:firstLine="420"/>
      </w:pPr>
      <w:r>
        <w:rPr>
          <w:rFonts w:ascii="Times New Roman" w:hAnsi="Times New Roman" w:eastAsia="Times New Roman" w:cs="Times New Roman"/>
          <w:sz w:val="20"/>
          <w:szCs w:val="20"/>
        </w:rPr>
        <w:t xml:space="preserve">with</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β</ns1:t>
        </ns1:r>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maximum information gain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oMath>
      <w:r>
        <w:rPr>
          <w:rFonts w:ascii="Times New Roman" w:hAnsi="Times New Roman" w:eastAsia="Times New Roman" w:cs="Times New Roman"/>
          <w:sz w:val="20"/>
          <w:szCs w:val="20"/>
        </w:rPr>
        <w:t/>
      </w:r>
      <w:r>
        <w:rPr>
          <w:rFonts w:ascii="Times New Roman" w:hAnsi="Times New Roman" w:eastAsia="Times New Roman" w:cs="Times New Roman"/>
          <w:sz w:val="20"/>
          <w:szCs w:val="20"/>
          <w:vertAlign w:val="superscript"/>
        </w:rPr>
        <w:t>6</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i</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sub>
          <ns1:sup>
            <ns1:r>
              <w:rPr>
                <w:rFonts w:ascii="Times New Roman" w:hAnsi="Times New Roman" w:eastAsia="Times New Roman" w:cs="Times New Roman"/>
              </w:rPr>
              <ns1:t>0</ns1:t>
            </ns1:r>
          </ns1:sup>
        </ns1:sSubSup>
      </ns1: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δ</ns1:t>
                        </ns1:r>
                      </ns1:e>
                      <ns1:sub>
                        <ns1:r>
                          <w:rPr>
                            <w:rFonts w:ascii="Times New Roman" w:hAnsi="Times New Roman" w:eastAsia="Times New Roman" w:cs="Times New Roman"/>
                          </w:rPr>
                          <ns1:t>1</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r>
                      <w:rPr>
                        <w:rFonts w:ascii="Times New Roman" w:hAnsi="Times New Roman" w:eastAsia="Times New Roman" w:cs="Times New Roman"/>
                      </w:rPr>
                      <ns1:t>h</ns1:t>
                    </ns1:r>
                  </ns1:e>
                  <ns1:e>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(9)</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σ</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e>
                    </ns1:nary>
                    <ns1:sSub>
                      <ns1:e>
                        <ns1:r>
                          <w:rPr>
                            <w:rFonts w:ascii="Times New Roman" w:hAnsi="Times New Roman" w:eastAsia="Times New Roman" w:cs="Times New Roman"/>
                          </w:rPr>
                          <ns1:t>σ</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(10)</w:t>
            </w:r>
          </w:p>
        </w:tc>
      </w:tr>
    </w:tbl>
    <w:p>
      <w:pPr>
        <w:pStyle w:val="11"/>
        <w:jc w:val="left"/>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Here,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a uniform upper bound on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over</w:t>
      </w:r>
      <w:r>
        <w:rPr>
          <w:rFonts w:ascii="Times New Roman" w:hAnsi="Times New Roman" w:eastAsia="Times New Roman" w:cs="Times New Roman"/>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not only the equilibrium value. The implemented cross term is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oMath>
      <w:r>
        <w:rPr>
          <w:rFonts w:ascii="Times New Roman" w:hAnsi="Times New Roman" w:eastAsia="Times New Roman" w:cs="Times New Roman"/>
          <w:sz w:val="20"/>
          <w:szCs w:val="20"/>
        </w:rPr>
        <w:t xml:space="preserve">, which upper-bounds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on</w:t>
      </w:r>
      <w:r>
        <w:rPr>
          <w:rFonts w:ascii="Times New Roman" w:hAnsi="Times New Roman" w:eastAsia="Times New Roman" w:cs="Times New Roman"/>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using the RKHS derivative-bound argument in Lemma S1.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d>
                      <ns1:dPr>
                        <ns1:begChr ns1:val="|"/>
                        <ns1:sepChr ns1:val=""/>
                        <ns1:endChr ns1:val="|"/>
                        <ns1:grow/>
                      </ns1:dPr>
                      <ns1:e>
                        <ns1:f>
                          <ns1:fPr>
                            <ns1:type ns1:val="bar"/>
                          </ns1:fPr>
                          <ns1:num>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w:rPr>
                                    <w:rFonts w:ascii="Times New Roman" w:hAnsi="Times New Roman" w:eastAsia="Times New Roman" w:cs="Times New Roman"/>
                                  </w:rPr>
                                  <ns1:t>g</ns1:t>
                                </ns1:r>
                              </ns1:sub>
                            </ns1:sSub>
                            <ns1:sSubSup>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bSup>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num>
                          <ns1:den>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den>
                        </ns1:f>
                      </ns1:e>
                    </ns1:d>
                  </ns1:e>
                </ns1:nary>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ns1:rPr>
                        <ns1:sty ns1:val="p"/>
                      </ns1:rPr>
                      <w:rPr>
                        <w:rFonts w:ascii="Times New Roman" w:hAnsi="Times New Roman" w:eastAsia="Times New Roman" w:cs="Times New Roman"/>
                      </w:rPr>
                      <ns1:t>max</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u</ns1:t>
            </ns1:r>
          </ns1:e>
          <ns1:sub>
            <ns1:r>
              <ns1:rPr>
                <ns1:sty ns1:val="p"/>
              </ns1:rPr>
              <w:rPr>
                <w:rFonts w:ascii="Times New Roman" w:hAnsi="Times New Roman" w:eastAsia="Times New Roman" w:cs="Times New Roman"/>
              </w:rPr>
              <ns1:t>max</ns1:t>
            </ns1:r>
          </ns1:sub>
        </ns1:sSub>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ℓ</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ℓ</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with the empty product equal to one; thus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pressure barriers with</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20"/>
          <w:szCs w:val="20"/>
        </w:rPr>
        <w:t xml:space="preserve">. The resulting HOCBF constraint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highlight w:val="yellow"/>
        </w:rPr>
        <w:t xml:space="preserve">Assumption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(Operating set and relative degree).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state remains in a compact operating set</w:t>
      </w:r>
      <w:r>
        <w:rPr>
          <w:rFonts w:ascii="Times New Roman" w:hAnsi="Times New Roman" w:eastAsia="Times New Roman" w:cs="Times New Roman"/>
          <w:i/>
          <w:iCs/>
          <w:sz w:val="20"/>
          <w:szCs w:val="20"/>
          <w:highlight w:val="yellow"/>
        </w:rPr>
        <w:t xml:space="preserve"> </w:t>
      </w:r>
      <ns1:oMath>
        <ns1:sSub>
          <ns1:e>
            <ns1:r>
              <ns1:rPr>
                <ns1:scr ns1:val="script"/>
                <ns1:sty ns1:val="p"/>
              </ns1:rPr>
              <w:rPr>
                <w:rFonts w:ascii="Times New Roman" w:hAnsi="Times New Roman" w:eastAsia="Times New Roman" w:cs="Times New Roman"/>
                <w:highlight w:val="yellow"/>
              </w:rPr>
              <ns1:t>X</ns1:t>
            </ns1:r>
          </ns1:e>
          <ns1:sub>
            <ns1:r>
              <ns1:rPr>
                <ns1:sty ns1:val="p"/>
              </ns1:rPr>
              <w:rPr>
                <w:rFonts w:ascii="Times New Roman" w:hAnsi="Times New Roman" w:eastAsia="Times New Roman" w:cs="Times New Roman"/>
                <w:highlight w:val="yellow"/>
              </w:rPr>
              <ns1:t>o</ns1:t>
            </ns1:r>
            <ns1:r>
              <ns1:rPr>
                <ns1:sty ns1:val="p"/>
              </ns1:rPr>
              <w:rPr>
                <w:rFonts w:ascii="Times New Roman" w:hAnsi="Times New Roman" w:eastAsia="Times New Roman" w:cs="Times New Roman"/>
                <w:highlight w:val="yellow"/>
              </w:rPr>
              <ns1:t>p</ns1:t>
            </ns1:r>
          </ns1:sub>
        </ns1:sSub>
        <ns1:r>
          <ns1:rPr>
            <ns1:sty ns1:val="p"/>
          </ns1:rPr>
          <w:rPr>
            <w:rFonts w:ascii="Times New Roman" w:hAnsi="Times New Roman" w:eastAsia="Times New Roman" w:cs="Times New Roman"/>
            <w:highlight w:val="yellow"/>
          </w:rPr>
          <ns1:t>⊂</ns1:t>
        </ns1:r>
        <ns1:r>
          <ns1:rPr>
            <ns1:scr ns1:val="script"/>
            <ns1:sty ns1:val="p"/>
          </ns1:rPr>
          <w:rPr>
            <w:rFonts w:ascii="Times New Roman" w:hAnsi="Times New Roman" w:eastAsia="Times New Roman" w:cs="Times New Roman"/>
            <w:highlight w:val="yellow"/>
          </w:rPr>
          <ns1:t>X</ns1:t>
        </ns1:r>
      </ns1:oMath>
      <w:r>
        <w:rPr>
          <w:rFonts w:ascii="Times New Roman" w:hAnsi="Times New Roman" w:eastAsia="Times New Roman" w:cs="Times New Roman"/>
          <w:i/>
          <w:iCs/>
          <w:sz w:val="20"/>
          <w:szCs w:val="20"/>
          <w:highlight w:val="yellow"/>
        </w:rPr>
        <w:t xml:space="preserve">, the barriers in Eq. </w:t>
      </w:r>
      <w:r>
        <w:rPr>
          <w:rFonts w:ascii="Times New Roman" w:hAnsi="Times New Roman" w:eastAsia="Times New Roman" w:cs="Times New Roman"/>
          <w:i/>
          <w:iCs/>
          <w:sz w:val="20"/>
          <w:szCs w:val="20"/>
          <w:highlight w:val="yellow"/>
        </w:rPr>
        <w:t xml:space="preserve">(6)</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are continuously differentiable to the required HOCBF order, and their relative degrees are known on</w:t>
      </w:r>
      <w:r>
        <w:rPr>
          <w:rFonts w:ascii="Times New Roman" w:hAnsi="Times New Roman" w:eastAsia="Times New Roman" w:cs="Times New Roman"/>
          <w:i/>
          <w:iCs/>
          <w:sz w:val="20"/>
          <w:szCs w:val="20"/>
          <w:highlight w:val="yellow"/>
        </w:rPr>
        <w:t xml:space="preserve"> </w:t>
      </w:r>
      <ns1:oMath>
        <ns1:sSub>
          <ns1:e>
            <ns1:r>
              <ns1:rPr>
                <ns1:scr ns1:val="script"/>
                <ns1:sty ns1:val="p"/>
              </ns1:rPr>
              <w:rPr>
                <w:rFonts w:ascii="Times New Roman" w:hAnsi="Times New Roman" w:eastAsia="Times New Roman" w:cs="Times New Roman"/>
                <w:highlight w:val="yellow"/>
              </w:rPr>
              <ns1:t>X</ns1:t>
            </ns1:r>
          </ns1:e>
          <ns1:sub>
            <ns1:r>
              <ns1:rPr>
                <ns1:sty ns1:val="p"/>
              </ns1:rPr>
              <w:rPr>
                <w:rFonts w:ascii="Times New Roman" w:hAnsi="Times New Roman" w:eastAsia="Times New Roman" w:cs="Times New Roman"/>
                <w:highlight w:val="yellow"/>
              </w:rPr>
              <ns1:t>o</ns1:t>
            </ns1:r>
            <ns1:r>
              <ns1:rPr>
                <ns1:sty ns1:val="p"/>
              </ns1:rPr>
              <w:rPr>
                <w:rFonts w:ascii="Times New Roman" w:hAnsi="Times New Roman" w:eastAsia="Times New Roman" w:cs="Times New Roman"/>
                <w:highlight w:val="yellow"/>
              </w:rPr>
              <ns1:t>p</ns1:t>
            </ns1:r>
          </ns1:sub>
        </ns1:sSub>
      </ns1: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(Drift-residual GP event).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input matrix is exact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i/>
          <w:iCs/>
          <w:sz w:val="20"/>
          <w:szCs w:val="20"/>
          <w:highlight w:val="yellow"/>
        </w:rPr>
        <w:t xml:space="preserve">). Each modeled component of</w:t>
      </w:r>
      <w:r>
        <w:rPr>
          <w:rFonts w:ascii="Times New Roman" w:hAnsi="Times New Roman" w:eastAsia="Times New Roman" w:cs="Times New Roman"/>
          <w:i/>
          <w:iCs/>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f</ns1:t>
        </ns1:r>
      </ns1: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on</w:t>
      </w:r>
      <w:r>
        <w:rPr>
          <w:rFonts w:ascii="Times New Roman" w:hAnsi="Times New Roman" w:eastAsia="Times New Roman" w:cs="Times New Roman"/>
          <w:i/>
          <w:iCs/>
          <w:sz w:val="20"/>
          <w:szCs w:val="20"/>
          <w:highlight w:val="yellow"/>
        </w:rPr>
        <w:t xml:space="preserve"> </w:t>
      </w:r>
      <ns1:oMath>
        <ns1:sSub>
          <ns1:e>
            <ns1:r>
              <w:rPr>
                <w:rFonts w:ascii="Times New Roman" w:hAnsi="Times New Roman" w:eastAsia="Times New Roman" w:cs="Times New Roman"/>
                <w:highlight w:val="yellow"/>
              </w:rPr>
              <ns1:t>J</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sub>
        </ns1:sSub>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p</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h</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N</ns1:t>
            </ns1:r>
          </ns1:e>
          <ns1:sub>
            <ns1:r>
              <w:rPr>
                <w:rFonts w:ascii="Times New Roman" w:hAnsi="Times New Roman" w:eastAsia="Times New Roman" w:cs="Times New Roman"/>
                <w:highlight w:val="yellow"/>
              </w:rPr>
              <ns1:t>e</ns1:t>
            </ns1:r>
          </ns1:sub>
        </ns1:sSub>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lies in the RKHS class required by the GP-UCB bound, and the fixed commissioning data give the simultaneous event</w:t>
      </w:r>
      <w:r>
        <w:rPr>
          <w:rFonts w:ascii="Times New Roman" w:hAnsi="Times New Roman" w:eastAsia="Times New Roman" w:cs="Times New Roman"/>
          <w:i/>
          <w:iCs/>
          <w:sz w:val="20"/>
          <w:szCs w:val="20"/>
          <w:highlight w:val="yellow"/>
        </w:rPr>
        <w:t xml:space="preserve"> </w:t>
      </w:r>
      <ns1:oMath>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Δ</ns1:t>
        </ns1:r>
        <ns1:sSub>
          <ns1:e>
            <ns1:r>
              <w:rPr>
                <w:rFonts w:ascii="Times New Roman" w:hAnsi="Times New Roman" w:eastAsia="Times New Roman" w:cs="Times New Roman"/>
                <w:highlight w:val="yellow"/>
              </w:rPr>
              <ns1:t>f</ns1:t>
            </ns1:r>
          </ns1:e>
          <ns1:sub>
            <ns1:r>
              <w:rPr>
                <w:rFonts w:ascii="Times New Roman" w:hAnsi="Times New Roman" w:eastAsia="Times New Roman" w:cs="Times New Roman"/>
                <w:highlight w:val="yellow"/>
              </w:rPr>
              <ns1:t>j</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μ</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j</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β</ns1:t>
        </ns1:r>
        <ns1:sSub>
          <ns1:e>
            <ns1:r>
              <w:rPr>
                <w:rFonts w:ascii="Times New Roman" w:hAnsi="Times New Roman" w:eastAsia="Times New Roman" w:cs="Times New Roman"/>
                <w:highlight w:val="yellow"/>
              </w:rPr>
              <ns1:t>σ</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j</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all</w:t>
      </w:r>
      <w:r>
        <w:rPr>
          <w:rFonts w:ascii="Times New Roman" w:hAnsi="Times New Roman" w:eastAsia="Times New Roman" w:cs="Times New Roman"/>
          <w:i/>
          <w:iCs/>
          <w:sz w:val="20"/>
          <w:szCs w:val="20"/>
          <w:highlight w:val="yellow"/>
        </w:rPr>
        <w:t xml:space="preserve"> </w:t>
      </w:r>
      <ns1:oMath>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sSub>
          <ns1:e>
            <ns1:r>
              <ns1:rPr>
                <ns1:scr ns1:val="script"/>
                <ns1:sty ns1:val="p"/>
              </ns1:rPr>
              <w:rPr>
                <w:rFonts w:ascii="Times New Roman" w:hAnsi="Times New Roman" w:eastAsia="Times New Roman" w:cs="Times New Roman"/>
                <w:highlight w:val="yellow"/>
              </w:rPr>
              <ns1:t>X</ns1:t>
            </ns1:r>
          </ns1:e>
          <ns1:sub>
            <ns1:r>
              <ns1:rPr>
                <ns1:sty ns1:val="p"/>
              </ns1:rPr>
              <w:rPr>
                <w:rFonts w:ascii="Times New Roman" w:hAnsi="Times New Roman" w:eastAsia="Times New Roman" w:cs="Times New Roman"/>
                <w:highlight w:val="yellow"/>
              </w:rPr>
              <ns1:t>o</ns1:t>
            </ns1:r>
            <ns1:r>
              <ns1:rPr>
                <ns1:sty ns1:val="p"/>
              </ns1:rPr>
              <w:rPr>
                <w:rFonts w:ascii="Times New Roman" w:hAnsi="Times New Roman" w:eastAsia="Times New Roman" w:cs="Times New Roman"/>
                <w:highlight w:val="yellow"/>
              </w:rPr>
              <ns1:t>p</ns1:t>
            </ns1:r>
          </ns1:sub>
        </ns1:sSub>
      </ns1: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and all modeled components with probability at least</w:t>
      </w:r>
      <w:r>
        <w:rPr>
          <w:rFonts w:ascii="Times New Roman" w:hAnsi="Times New Roman" w:eastAsia="Times New Roman" w:cs="Times New Roman"/>
          <w:i/>
          <w:iCs/>
          <w:sz w:val="20"/>
          <w:szCs w:val="20"/>
          <w:highlight w:val="yellow"/>
        </w:rPr>
        <w:t xml:space="preserve"> </w:t>
      </w:r>
      <ns1:oMath>
        <ns1:r>
          <w:rPr>
            <w:rFonts w:ascii="Times New Roman" w:hAnsi="Times New Roman" w:eastAsia="Times New Roman" w:cs="Times New Roman"/>
            <w:highlight w:val="yellow"/>
          </w:rPr>
          <ns1:t>1</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δ</ns1:t>
        </ns1:r>
      </ns1:oMath>
      <w:r>
        <w:rPr>
          <w:rFonts w:ascii="Times New Roman" w:hAnsi="Times New Roman" w:eastAsia="Times New Roman" w:cs="Times New Roman"/>
          <w:i/>
          <w:iCs/>
          <w:sz w:val="20"/>
          <w:szCs w:val="20"/>
          <w:highlight w:val="yellow"/>
        </w:rPr>
        <w:t xml:space="preserve">. Residuals in the unmodeled</w:t>
      </w:r>
      <w:r>
        <w:rPr>
          <w:rFonts w:ascii="Times New Roman" w:hAnsi="Times New Roman" w:eastAsia="Times New Roman" w:cs="Times New Roman"/>
          <w:i/>
          <w:iCs/>
          <w:sz w:val="20"/>
          <w:szCs w:val="20"/>
          <w:highlight w:val="yellow"/>
        </w:rPr>
        <w:t xml:space="preserve"> </w:t>
      </w:r>
      <ns1:oMath>
        <ns1:sSub>
          <ns1:e>
            <ns1:r>
              <w:rPr>
                <w:rFonts w:ascii="Times New Roman" w:hAnsi="Times New Roman" w:eastAsia="Times New Roman" w:cs="Times New Roman"/>
                <w:highlight w:val="yellow"/>
              </w:rPr>
              <ns1:t>r</ns1:t>
            </ns1:r>
          </ns1:e>
          <ns1:sub>
            <ns1:r>
              <w:rPr>
                <w:rFonts w:ascii="Times New Roman" w:hAnsi="Times New Roman" w:eastAsia="Times New Roman" w:cs="Times New Roman"/>
                <w:highlight w:val="yellow"/>
              </w:rPr>
              <ns1:t>B</ns1:t>
            </ns1:r>
          </ns1:sub>
        </ns1:sSub>
      </ns1: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and</w:t>
      </w:r>
      <w:r>
        <w:rPr>
          <w:rFonts w:ascii="Times New Roman" w:hAnsi="Times New Roman" w:eastAsia="Times New Roman" w:cs="Times New Roman"/>
          <w:i/>
          <w:iCs/>
          <w:sz w:val="20"/>
          <w:szCs w:val="20"/>
          <w:highlight w:val="yellow"/>
        </w:rPr>
        <w:t xml:space="preserve"> </w:t>
      </w:r>
      <ns1:oMath>
        <ns1:sSub>
          <ns1:e>
            <ns1:r>
              <w:rPr>
                <w:rFonts w:ascii="Times New Roman" w:hAnsi="Times New Roman" w:eastAsia="Times New Roman" w:cs="Times New Roman"/>
                <w:highlight w:val="yellow"/>
              </w:rPr>
              <ns1:t>τ</ns1:t>
            </ns1:r>
          </ns1:e>
          <ns1:sub>
            <ns1:r>
              <w:rPr>
                <w:rFonts w:ascii="Times New Roman" w:hAnsi="Times New Roman" w:eastAsia="Times New Roman" w:cs="Times New Roman"/>
                <w:highlight w:val="yellow"/>
              </w:rPr>
              <ns1:t>f</ns1:t>
            </ns1:r>
          </ns1:sub>
        </ns1:sSub>
      </ns1: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rows are zero in the certificate-aligned benchmark or are otherwise covered by Assumption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(Compositional residual bound).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derivative constants used in Lemma S1 are finite on</w:t>
      </w:r>
      <w:r>
        <w:rPr>
          <w:rFonts w:ascii="Times New Roman" w:hAnsi="Times New Roman" w:eastAsia="Times New Roman" w:cs="Times New Roman"/>
          <w:i/>
          <w:iCs/>
          <w:sz w:val="20"/>
          <w:szCs w:val="20"/>
          <w:highlight w:val="yellow"/>
        </w:rPr>
        <w:t xml:space="preserve"> </w:t>
      </w:r>
      <ns1:oMath>
        <ns1:sSub>
          <ns1:e>
            <ns1:r>
              <ns1:rPr>
                <ns1:scr ns1:val="script"/>
                <ns1:sty ns1:val="p"/>
              </ns1:rPr>
              <w:rPr>
                <w:rFonts w:ascii="Times New Roman" w:hAnsi="Times New Roman" w:eastAsia="Times New Roman" w:cs="Times New Roman"/>
                <w:highlight w:val="yellow"/>
              </w:rPr>
              <ns1:t>X</ns1:t>
            </ns1:r>
          </ns1:e>
          <ns1:sub>
            <ns1:r>
              <ns1:rPr>
                <ns1:sty ns1:val="p"/>
              </ns1:rPr>
              <w:rPr>
                <w:rFonts w:ascii="Times New Roman" w:hAnsi="Times New Roman" w:eastAsia="Times New Roman" w:cs="Times New Roman"/>
                <w:highlight w:val="yellow"/>
              </w:rPr>
              <ns1:t>o</ns1:t>
            </ns1:r>
            <ns1:r>
              <ns1:rPr>
                <ns1:sty ns1:val="p"/>
              </ns1:rPr>
              <w:rPr>
                <w:rFonts w:ascii="Times New Roman" w:hAnsi="Times New Roman" w:eastAsia="Times New Roman" w:cs="Times New Roman"/>
                <w:highlight w:val="yellow"/>
              </w:rPr>
              <ns1:t>p</ns1:t>
            </ns1:r>
          </ns1:sub>
        </ns1:sSub>
      </ns1:oMath>
      <w:r>
        <w:rPr>
          <w:rFonts w:ascii="Times New Roman" w:hAnsi="Times New Roman" w:eastAsia="Times New Roman" w:cs="Times New Roman"/>
          <w:i/>
          <w:iCs/>
          <w:sz w:val="20"/>
          <w:szCs w:val="20"/>
          <w:highlight w:val="yellow"/>
        </w:rPr>
        <w:t xml:space="preserve">, and the margin definitions in Section 3.3, together with Eq. </w:t>
      </w:r>
      <w:r>
        <w:rPr>
          <w:rFonts w:ascii="Times New Roman" w:hAnsi="Times New Roman" w:eastAsia="Times New Roman" w:cs="Times New Roman"/>
          <w:i/>
          <w:iCs/>
          <w:sz w:val="20"/>
          <w:szCs w:val="20"/>
          <w:highlight w:val="yellow"/>
        </w:rPr>
        <w:t xml:space="preserve">(11)</w:t>
      </w:r>
      <w:r>
        <w:rPr>
          <w:rFonts w:ascii="Times New Roman" w:hAnsi="Times New Roman" w:eastAsia="Times New Roman" w:cs="Times New Roman"/>
          <w:i/>
          <w:iCs/>
          <w:sz w:val="20"/>
          <w:szCs w:val="20"/>
          <w:highlight w:val="yellow"/>
        </w:rPr>
        <w:t xml:space="preserve">, satisfy</w:t>
      </w:r>
      <w:r>
        <w:rPr>
          <w:rFonts w:ascii="Times New Roman" w:hAnsi="Times New Roman" w:eastAsia="Times New Roman" w:cs="Times New Roman"/>
          <w:i/>
          <w:iCs/>
          <w:sz w:val="20"/>
          <w:szCs w:val="20"/>
          <w:highlight w:val="yellow"/>
        </w:rPr>
        <w:t xml:space="preserve"> </w:t>
      </w:r>
      <ns1:oMath>
        <ns1:r>
          <ns1:rPr>
            <ns1:sty ns1:val="p"/>
          </ns1:rPr>
          <w:rPr>
            <w:rFonts w:ascii="Times New Roman" w:hAnsi="Times New Roman" w:eastAsia="Times New Roman" w:cs="Times New Roman"/>
            <w:highlight w:val="yellow"/>
          </w:rPr>
          <ns1:t>|</ns1:t>
        </ns1:r>
        <ns1:sSub>
          <ns1:e>
            <ns1:r>
              <ns1:rPr>
                <ns1:sty ns1:val="p"/>
              </ns1:rPr>
              <w:rPr>
                <w:rFonts w:ascii="Times New Roman" w:hAnsi="Times New Roman" w:eastAsia="Times New Roman" w:cs="Times New Roman"/>
                <w:highlight w:val="yellow"/>
              </w:rPr>
              <ns1:t>Δ</ns1:t>
            </ns1:r>
          </ns1:e>
          <ns1:sub>
            <ns1:r>
              <w:rPr>
                <w:rFonts w:ascii="Times New Roman" w:hAnsi="Times New Roman" w:eastAsia="Times New Roman" w:cs="Times New Roman"/>
                <w:highlight w:val="yellow"/>
              </w:rPr>
              <ns1:t>ψ</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v</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σ</ns1:t>
            </ns1:r>
          </ns1:e>
          <ns1:sub>
            <ns1:r>
              <ns1:rPr>
                <ns1:sty ns1:val="p"/>
              </ns1:rPr>
              <w:rPr>
                <w:rFonts w:ascii="Times New Roman" w:hAnsi="Times New Roman" w:eastAsia="Times New Roman" w:cs="Times New Roman"/>
                <w:highlight w:val="yellow"/>
              </w:rPr>
              <ns1:t>t</ns1:t>
            </ns1:r>
            <ns1:r>
              <ns1:rPr>
                <ns1:sty ns1:val="p"/>
              </ns1:rPr>
              <w:rPr>
                <w:rFonts w:ascii="Times New Roman" w:hAnsi="Times New Roman" w:eastAsia="Times New Roman" w:cs="Times New Roman"/>
                <w:highlight w:val="yellow"/>
              </w:rPr>
              <ns1:t>o</ns1:t>
            </ns1:r>
            <ns1:r>
              <ns1:rPr>
                <ns1:sty ns1:val="p"/>
              </ns1:rPr>
              <w:rPr>
                <w:rFonts w:ascii="Times New Roman" w:hAnsi="Times New Roman" w:eastAsia="Times New Roman" w:cs="Times New Roman"/>
                <w:highlight w:val="yellow"/>
              </w:rPr>
              <ns1:t>t</ns1:t>
            </ns1:r>
            <ns1:r>
              <ns1:rPr>
                <ns1:sty ns1:val="p"/>
              </ns1:rP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l</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every active HOCBF row and every admissible</w:t>
      </w:r>
      <w:r>
        <w:rPr>
          <w:rFonts w:ascii="Times New Roman" w:hAnsi="Times New Roman" w:eastAsia="Times New Roman" w:cs="Times New Roman"/>
          <w:i/>
          <w:iCs/>
          <w:sz w:val="20"/>
          <w:szCs w:val="20"/>
          <w:highlight w:val="yellow"/>
        </w:rPr>
        <w:t xml:space="preserve"> </w:t>
      </w:r>
      <ns1:oMath>
        <ns1:r>
          <w:rPr>
            <w:rFonts w:ascii="Times New Roman" w:hAnsi="Times New Roman" w:eastAsia="Times New Roman" w:cs="Times New Roman"/>
            <w:highlight w:val="yellow"/>
          </w:rPr>
          <ns1:t>v</ns1:t>
        </ns1:r>
        <ns1:r>
          <ns1:rPr>
            <ns1:sty ns1:val="p"/>
          </ns1:rPr>
          <w:rPr>
            <w:rFonts w:ascii="Times New Roman" w:hAnsi="Times New Roman" w:eastAsia="Times New Roman" w:cs="Times New Roman"/>
            <w:highlight w:val="yellow"/>
          </w:rPr>
          <ns1:t>∈</ns1:t>
        </ns1:r>
        <ns1:r>
          <ns1:rPr>
            <ns1:scr ns1:val="script"/>
            <ns1:sty ns1:val="p"/>
          </ns1:rPr>
          <w:rPr>
            <w:rFonts w:ascii="Times New Roman" w:hAnsi="Times New Roman" w:eastAsia="Times New Roman" w:cs="Times New Roman"/>
            <w:highlight w:val="yellow"/>
          </w:rPr>
          <ns1:t>V</ns1:t>
        </ns1:r>
      </ns1: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ns1:oMath>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m</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w:t>
      </w:r>
      <w:r>
        <w:rPr>
          <w:rFonts w:ascii="Times New Roman" w:hAnsi="Times New Roman" w:eastAsia="Times New Roman" w:cs="Times New Roman"/>
          <w:i/>
          <w:iCs/>
          <w:sz w:val="20"/>
          <w:szCs w:val="20"/>
        </w:rPr>
        <w:t xml:space="preserve"> </w:t>
      </w:r>
      <ns1:oMath>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GP-UCB event, bounds each HOCBF-chain residual by induction, uses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and then applies the HOCBF forward-invariance result to the tightened QP. The certificate is attached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robust-QP feasibility.</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The online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therefore has a dual interpretation: it recovers the formal bound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acts as a commissioning parameter when smaller values are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i.e., the nominal HOCBF constraint with GP mean correction only. No robustness margin is applied beyond the mean correction itself.</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the full compositional margin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recovering the worst-case certificate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numPr>
          <w:ilvl w:val="0"/>
          <w:numId w:val="1003"/>
        </w:numPr>
        <w:jc w:val="left"/>
      </w:pP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&lt;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rPr>
        <w:t xml:space="preserve">The full probabilistic certificate is attached only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Values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whether the worst-case endpoint is useful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f</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r</ns1:t>
            </ns1:r>
          </ns1:sub>
        </ns1:sSub>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continuous-time, whereas the implementation uses</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T</ns1:t>
            </ns1:r>
          </ns1:e>
          <ns1:sub>
            <ns1:r>
              <w:rPr>
                <w:rFonts w:ascii="Times New Roman" w:hAnsi="Times New Roman" w:eastAsia="Times New Roman" w:cs="Times New Roman"/>
                <w:highlight w:val="yellow"/>
              </w:rPr>
              <ns1:t>s</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ns1:t>
        </ns1:r>
      </ns1:oMath>
      <w:r>
        <w:rPr>
          <w:rFonts w:ascii="Times New Roman" w:hAnsi="Times New Roman" w:eastAsia="Times New Roman" w:cs="Times New Roman"/>
          <w:sz w:val="20"/>
          <w:szCs w:val="20"/>
          <w:highlight w:val="yellow"/>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pressure_low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and only when</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G</ns1:t>
            </ns1:r>
          </ns1:e>
          <ns1:sub>
            <ns1:r>
              <w:rPr>
                <w:rFonts w:ascii="Times New Roman" w:hAnsi="Times New Roman" w:eastAsia="Times New Roman" w:cs="Times New Roman"/>
                <w:highlight w:val="yellow"/>
              </w:rPr>
              <ns1:t>i</ns1:t>
            </ns1:r>
          </ns1:sub>
        </ns1:sSub>
        <ns1:sSub>
          <ns1:e>
            <ns1:r>
              <w:rPr>
                <w:rFonts w:ascii="Times New Roman" w:hAnsi="Times New Roman" w:eastAsia="Times New Roman" w:cs="Times New Roman"/>
                <w:highlight w:val="yellow"/>
              </w:rPr>
              <ns1:t>S</ns1:t>
            </ns1:r>
          </ns1:e>
          <ns1:sub>
            <ns1:r>
              <w:rPr>
                <w:rFonts w:ascii="Times New Roman" w:hAnsi="Times New Roman" w:eastAsia="Times New Roman" w:cs="Times New Roman"/>
                <w:highlight w:val="yellow"/>
              </w:rPr>
              <ns1:t>u</ns1:t>
            </ns1:r>
          </ns1:sub>
        </ns1:sSub>
        <ns1:sSub>
          <ns1:e>
            <ns1:r>
              <ns1:rPr>
                <ns1:sty ns1:val="p"/>
              </ns1:rPr>
              <w:rPr>
                <w:rFonts w:ascii="Times New Roman" w:hAnsi="Times New Roman" w:eastAsia="Times New Roman" w:cs="Times New Roman"/>
                <w:highlight w:val="yellow"/>
              </w:rPr>
              <ns1:t>∥</ns1:t>
            </ns1:r>
          </ns1:e>
          <ns1:sub>
            <ns1:r>
              <w:rPr>
                <w:rFonts w:ascii="Times New Roman" w:hAnsi="Times New Roman" w:eastAsia="Times New Roman" w:cs="Times New Roman"/>
                <w:highlight w:val="yellow"/>
              </w:rPr>
              <ns1:t>2</ns1:t>
            </ns1:r>
          </ns1:sub>
        </ns1:sSub>
        <ns1:r>
          <ns1:rPr>
            <ns1:sty ns1:val="p"/>
          </ns1:rPr>
          <w:rPr>
            <w:rFonts w:ascii="Times New Roman" w:hAnsi="Times New Roman" w:eastAsia="Times New Roman" w:cs="Times New Roman"/>
            <w:highlight w:val="yellow"/>
          </w:rPr>
          <ns1:t>&lt;</ns1:t>
        </ns1:r>
        <ns1:r>
          <w:rPr>
            <w:rFonts w:ascii="Times New Roman" w:hAnsi="Times New Roman" w:eastAsia="Times New Roman" w:cs="Times New Roman"/>
            <w:highlight w:val="yellow"/>
          </w:rPr>
          <ns1:t>0.01</ns1:t>
        </ns1:r>
      </ns1:oMath>
      <w:r>
        <w:rPr>
          <w:rFonts w:ascii="Times New Roman" w:hAnsi="Times New Roman" w:eastAsia="Times New Roman" w:cs="Times New Roman"/>
          <w:sz w:val="20"/>
          <w:szCs w:val="20"/>
          <w:highlight w:val="yellow"/>
        </w:rPr>
        <w:t xml:space="preserve">, the unscaled row right-hand side is below</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ns1:t>
        </ns1:r>
        <ns1:sSup>
          <ns1:e>
            <ns1:r>
              <w:rPr>
                <w:rFonts w:ascii="Times New Roman" w:hAnsi="Times New Roman" w:eastAsia="Times New Roman" w:cs="Times New Roman"/>
                <w:highlight w:val="yellow"/>
              </w:rPr>
              <ns1:t>10</ns1:t>
            </ns1:r>
          </ns1:e>
          <ns1: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6</ns1:t>
            </ns1:r>
          </ns1:sup>
        </ns1:sSup>
      </ns1:oMath>
      <w:r>
        <w:rPr>
          <w:rFonts w:ascii="Times New Roman" w:hAnsi="Times New Roman" w:eastAsia="Times New Roman" w:cs="Times New Roman"/>
          <w:sz w:val="20"/>
          <w:szCs w:val="20"/>
          <w:highlight w:val="yellow"/>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original six-row problem, so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highlight w:val="yellow"/>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p</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h</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N</ns1:t>
            </ns1:r>
          </ns1:e>
          <ns1:sub>
            <ns1:r>
              <w:rPr>
                <w:rFonts w:ascii="Times New Roman" w:hAnsi="Times New Roman" w:eastAsia="Times New Roman" w:cs="Times New Roman"/>
                <w:highlight w:val="yellow"/>
              </w:rPr>
              <ns1:t>e</ns1:t>
            </ns1:r>
          </ns1:sub>
        </ns1:sSub>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0.1</ns1:t>
        </ns1:r>
      </ns1:oMath>
      <w:r>
        <w:rPr>
          <w:rFonts w:ascii="Times New Roman" w:hAnsi="Times New Roman" w:eastAsia="Times New Roman" w:cs="Times New Roman"/>
          <w:sz w:val="20"/>
          <w:szCs w:val="20"/>
          <w:highlight w:val="yellow"/>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highlight w:val="yellow"/>
        </w:rPr>
        <w:t xml:space="preserve">Coverage monitoring combines the input z-score and 0.5th–99.5th training quantiles, the validation-set 99th percentile of posterior standard deviation, and the standardized one-step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highlight w:val="yellow"/>
        </w:rPr>
        <w:t xml:space="preserve">The benchmark is a fifth-order nonlinear model of the boiler-turbine coordinated control loop of an ultra-supercritical power unit with state</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x</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r</ns1:t>
            </ns1:r>
          </ns1:e>
          <ns1:sub>
            <ns1:r>
              <w:rPr>
                <w:rFonts w:ascii="Times New Roman" w:hAnsi="Times New Roman" w:eastAsia="Times New Roman" w:cs="Times New Roman"/>
                <w:highlight w:val="yellow"/>
              </w:rPr>
              <ns1:t>B</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p</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h</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N</ns1:t>
            </ns1:r>
          </ns1:e>
          <ns1:sub>
            <ns1:r>
              <w:rPr>
                <w:rFonts w:ascii="Times New Roman" w:hAnsi="Times New Roman" w:eastAsia="Times New Roman" w:cs="Times New Roman"/>
                <w:highlight w:val="yellow"/>
              </w:rPr>
              <ns1:t>e</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τ</ns1:t>
            </ns1:r>
          </ns1:e>
          <ns1:sub>
            <ns1:r>
              <w:rPr>
                <w:rFonts w:ascii="Times New Roman" w:hAnsi="Times New Roman" w:eastAsia="Times New Roman" w:cs="Times New Roman"/>
                <w:highlight w:val="yellow"/>
              </w:rPr>
              <ns1:t>f</ns1:t>
            </ns1:r>
          </ns1:sub>
        </ns1:sSub>
        <ns1:sSup>
          <ns1:e>
            <ns1:r>
              <ns1:rPr>
                <ns1:sty ns1:val="p"/>
              </ns1:rPr>
              <w:rPr>
                <w:rFonts w:ascii="Times New Roman" w:hAnsi="Times New Roman" w:eastAsia="Times New Roman" w:cs="Times New Roman"/>
                <w:highlight w:val="yellow"/>
              </w:rPr>
              <ns1:t>]</ns1:t>
            </ns1:r>
          </ns1:e>
          <ns1:sup>
            <ns1:r>
              <ns1:rPr>
                <ns1:sty ns1:val="p"/>
              </ns1:rPr>
              <w:rPr>
                <w:rFonts w:ascii="Times New Roman" w:hAnsi="Times New Roman" w:eastAsia="Times New Roman" w:cs="Times New Roman"/>
                <w:highlight w:val="yellow"/>
              </w:rPr>
              <ns1:t>⊤</ns1:t>
            </ns1:r>
          </ns1:sup>
        </ns1:sSup>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three control inputs. The enforced limits are pressure (</w:t>
      </w:r>
      <ns1:oMath>
        <ns1: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2</ns1:t>
        </ns1:r>
      </ns1:oMath>
      <w:r>
        <w:rPr>
          <w:rFonts w:ascii="Times New Roman" w:hAnsi="Times New Roman" w:eastAsia="Times New Roman" w:cs="Times New Roman"/>
          <w:sz w:val="20"/>
          <w:szCs w:val="20"/>
          <w:highlight w:val="yellow"/>
        </w:rPr>
        <w:t xml:space="preserve">, 13–24 MPa), separator enthalpy (</w:t>
      </w:r>
      <ns1:oMath>
        <ns1: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ns1:t>
        </ns1:r>
      </ns1:oMath>
      <w:r>
        <w:rPr>
          <w:rFonts w:ascii="Times New Roman" w:hAnsi="Times New Roman" w:eastAsia="Times New Roman" w:cs="Times New Roman"/>
          <w:sz w:val="20"/>
          <w:szCs w:val="20"/>
          <w:highlight w:val="yellow"/>
        </w:rPr>
        <w:t xml:space="preserve">, 2670–2830 kJ/kg), and generator active-power tracking around the dispatch target (</w:t>
      </w:r>
      <ns1:oMath>
        <ns1: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ns1:t>
        </ns1:r>
      </ns1: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N</ns1:t>
            </ns1:r>
          </ns1:e>
          <ns1:sub>
            <ns1:r>
              <ns1:rPr>
                <ns1:sty ns1:val="p"/>
              </ns1:rPr>
              <w:rPr>
                <w:rFonts w:ascii="Times New Roman" w:hAnsi="Times New Roman" w:eastAsia="Times New Roman" w:cs="Times New Roman"/>
                <w:highlight w:val="yellow"/>
              </w:rPr>
              <ns1:t>r</ns1:t>
            </ns1:r>
            <ns1:r>
              <ns1:rPr>
                <ns1:sty ns1:val="p"/>
              </ns1:rPr>
              <w:rPr>
                <w:rFonts w:ascii="Times New Roman" w:hAnsi="Times New Roman" w:eastAsia="Times New Roman" w:cs="Times New Roman"/>
                <w:highlight w:val="yellow"/>
              </w:rPr>
              <ns1:t>e</ns1:t>
            </ns1:r>
            <ns1:r>
              <ns1:rPr>
                <ns1:sty ns1:val="p"/>
              </ns1:rPr>
              <w:rPr>
                <w:rFonts w:ascii="Times New Roman" w:hAnsi="Times New Roman" w:eastAsia="Times New Roman" w:cs="Times New Roman"/>
                <w:highlight w:val="yellow"/>
              </w:rPr>
              <ns1:t>f</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50</ns1:t>
        </ns1:r>
      </ns1:oMath>
      <w:r>
        <w:rPr>
          <w:rFonts w:ascii="Times New Roman" w:hAnsi="Times New Roman" w:eastAsia="Times New Roman" w:cs="Times New Roman"/>
          <w:sz w:val="20"/>
          <w:szCs w:val="20"/>
          <w:highlight w:val="yellow"/>
        </w:rPr>
        <w:t xml:space="preserve"> MW).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primary validation corresponding to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rollout plant and the filter use the same fixed input matrix, so mismatch enters through drift residuals and</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 is maintained. S5 and S6 also perturb the extended power/fuel-delay dynamics of the fifth-order model.</w:t>
      </w:r>
    </w:p>
    <w:p>
      <w:pPr>
        <w:pStyle w:val="3"/>
        <w:jc w:val="left"/>
        <w:ind w:firstLine="420"/>
      </w:pPr>
      <w:r>
        <w:rPr>
          <w:rFonts w:ascii="Times New Roman" w:hAnsi="Times New Roman" w:eastAsia="Times New Roman" w:cs="Times New Roman"/>
          <w:sz w:val="20"/>
          <w:szCs w:val="20"/>
          <w:highlight w:val="yellow"/>
        </w:rPr>
        <w:t xml:space="preserve">To isolate the safety layer in the</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fixed-proposal and HOCBF rows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 the same seeded, bounded upstream deviation command and differ only in the downstream filter. Each method-condition cell contains five independent 500-sample rollouts (2500 controller samples). All GP variants use 500 scenario-specific training transitions, the common input/output vector</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p</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h</ns1:t>
            </ns1:r>
          </ns1:e>
          <ns1:sub>
            <ns1:r>
              <w:rPr>
                <w:rFonts w:ascii="Times New Roman" w:hAnsi="Times New Roman" w:eastAsia="Times New Roman" w:cs="Times New Roman"/>
                <w:highlight w:val="yellow"/>
              </w:rPr>
              <ns1:t>m</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N</ns1:t>
            </ns1:r>
          </ns1:e>
          <ns1:sub>
            <ns1:r>
              <w:rPr>
                <w:rFonts w:ascii="Times New Roman" w:hAnsi="Times New Roman" w:eastAsia="Times New Roman" w:cs="Times New Roman"/>
                <w:highlight w:val="yellow"/>
              </w:rPr>
              <ns1:t>e</ns1:t>
            </ns1:r>
          </ns1:sub>
        </ns1:sSub>
        <ns1:sSup>
          <ns1:e>
            <ns1:r>
              <ns1:rPr>
                <ns1:sty ns1:val="p"/>
              </ns1:rPr>
              <w:rPr>
                <w:rFonts w:ascii="Times New Roman" w:hAnsi="Times New Roman" w:eastAsia="Times New Roman" w:cs="Times New Roman"/>
                <w:highlight w:val="yellow"/>
              </w:rPr>
              <ns1:t>]</ns1:t>
            </ns1:r>
          </ns1:e>
          <ns1:sup>
            <ns1:r>
              <ns1:rPr>
                <ns1:sty ns1:val="p"/>
              </ns1:rPr>
              <w:rPr>
                <w:rFonts w:ascii="Times New Roman" w:hAnsi="Times New Roman" w:eastAsia="Times New Roman" w:cs="Times New Roman"/>
                <w:highlight w:val="yellow"/>
              </w:rPr>
              <ns1:t>⊤</ns1:t>
            </ns1:r>
          </ns1:sup>
        </ns1:sSup>
      </ns1:oMath>
      <w:r>
        <w:rPr>
          <w:rFonts w:ascii="Times New Roman" w:hAnsi="Times New Roman" w:eastAsia="Times New Roman" w:cs="Times New Roman"/>
          <w:sz w:val="20"/>
          <w:szCs w:val="20"/>
          <w:highlight w:val="yellow"/>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highlight w:val="yellow"/>
        </w:rPr>
        <w:t xml:space="preserve"> </w:t>
      </w:r>
      <ns1:oMath>
        <ns1:sSup>
          <ns1:e>
            <ns1:r>
              <w:rPr>
                <w:rFonts w:ascii="Times New Roman" w:hAnsi="Times New Roman" w:eastAsia="Times New Roman" w:cs="Times New Roman"/>
                <w:highlight w:val="yellow"/>
              </w:rPr>
              <ns1:t>10</ns1:t>
            </ns1:r>
          </ns1:e>
          <ns1: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6</ns1:t>
            </ns1:r>
          </ns1:sup>
        </ns1:sSup>
      </ns1:oMath>
      <w:r>
        <w:rPr>
          <w:rFonts w:ascii="Times New Roman" w:hAnsi="Times New Roman" w:eastAsia="Times New Roman" w:cs="Times New Roman"/>
          <w:sz w:val="20"/>
          <w:szCs w:val="20"/>
          <w:highlight w:val="yellow"/>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highlight w:val="yellow"/>
        </w:rPr>
        <w:t xml:space="preserve"> </w:t>
      </w:r>
      <ns1:oMath>
        <ns1:sSup>
          <ns1:e>
            <ns1:r>
              <w:rPr>
                <w:rFonts w:ascii="Times New Roman" w:hAnsi="Times New Roman" w:eastAsia="Times New Roman" w:cs="Times New Roman"/>
                <w:highlight w:val="yellow"/>
              </w:rPr>
              <ns1:t>10</ns1:t>
            </ns1:r>
          </ns1:e>
          <ns1: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2</ns1:t>
            </ns1:r>
          </ns1:sup>
        </ns1:sSup>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highlight w:val="yellow"/>
        </w:rPr>
        <w:t xml:space="preserve">NMPC is evaluated under the same</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rollout conditions as an optimization-based reference. It solves a warm-started SLSQP problem with horizon</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N</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5</ns1:t>
        </ns1:r>
      </ns1:oMath>
      <w:r>
        <w:rPr>
          <w:rFonts w:ascii="Times New Roman" w:hAnsi="Times New Roman" w:eastAsia="Times New Roman" w:cs="Times New Roman"/>
          <w:sz w:val="20"/>
          <w:szCs w:val="20"/>
          <w:highlight w:val="yellow"/>
        </w:rPr>
        <w:t xml:space="preserve">, deviation-input bounds</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v</ns1:t>
            </ns1:r>
          </ns1:e>
          <ns1:sub>
            <ns1:r>
              <w:rPr>
                <w:rFonts w:ascii="Times New Roman" w:hAnsi="Times New Roman" w:eastAsia="Times New Roman" w:cs="Times New Roman"/>
                <w:highlight w:val="yellow"/>
              </w:rPr>
              <ns1:t>i</ns1:t>
            </ns1:r>
          </ns1:sub>
        </ns1:sSub>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10</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10</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the same six process constraints, a stabilized linear prediction model, and additive disturbance correction. The output and input weights are</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d</ns1:t>
        </ns1:r>
        <ns1:r>
          <ns1:rPr>
            <ns1:sty ns1:val="p"/>
          </ns1:rPr>
          <w:rPr>
            <w:rFonts w:ascii="Times New Roman" w:hAnsi="Times New Roman" w:eastAsia="Times New Roman" w:cs="Times New Roman"/>
            <w:highlight w:val="yellow"/>
          </w:rPr>
          <ns1:t>i</ns1:t>
        </ns1:r>
        <ns1:r>
          <ns1:rPr>
            <ns1:sty ns1:val="p"/>
          </ns1:rP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1.0</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0.001</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0.01</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d</ns1:t>
        </ns1:r>
        <ns1:r>
          <ns1:rPr>
            <ns1:sty ns1:val="p"/>
          </ns1:rPr>
          <w:rPr>
            <w:rFonts w:ascii="Times New Roman" w:hAnsi="Times New Roman" w:eastAsia="Times New Roman" w:cs="Times New Roman"/>
            <w:highlight w:val="yellow"/>
          </w:rPr>
          <ns1:t>i</ns1:t>
        </ns1:r>
        <ns1:r>
          <ns1:rPr>
            <ns1:sty ns1:val="p"/>
          </ns1:rP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0.01</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0.01</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0.01</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respectively; the disturbance-estimator gain is 0.5, and SLSQP uses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maxiter</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ftol</w:t>
      </w:r>
      <ns1:oMath>
        <ns1:r>
          <ns1:rPr>
            <ns1:sty ns1:val="p"/>
          </ns1:rPr>
          <w:rPr>
            <w:rFonts w:ascii="Times New Roman" w:hAnsi="Times New Roman" w:eastAsia="Times New Roman" w:cs="Times New Roman"/>
            <w:highlight w:val="yellow"/>
          </w:rPr>
          <ns1:t>=</ns1:t>
        </ns1:r>
        <ns1:sSup>
          <ns1:e>
            <ns1:r>
              <w:rPr>
                <w:rFonts w:ascii="Times New Roman" w:hAnsi="Times New Roman" w:eastAsia="Times New Roman" w:cs="Times New Roman"/>
                <w:highlight w:val="yellow"/>
              </w:rPr>
              <ns1:t>10</ns1:t>
            </ns1:r>
          </ns1:e>
          <ns1: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4</ns1:t>
            </ns1:r>
          </ns1:sup>
        </ns1:sSup>
      </ns1:oMath>
      <w:r>
        <w:rPr>
          <w:rFonts w:ascii="Times New Roman" w:hAnsi="Times New Roman" w:eastAsia="Times New Roman" w:cs="Times New Roman"/>
          <w:sz w:val="20"/>
          <w:szCs w:val="20"/>
          <w:highlight w:val="yellow"/>
        </w:rPr>
        <w:t xml:space="preserve">. Every one of the 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NMPC solves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converged and passed a</w:t>
      </w:r>
      <w:r>
        <w:rPr>
          <w:rFonts w:ascii="Times New Roman" w:hAnsi="Times New Roman" w:eastAsia="Times New Roman" w:cs="Times New Roman"/>
          <w:sz w:val="20"/>
          <w:szCs w:val="20"/>
          <w:highlight w:val="yellow"/>
        </w:rPr>
        <w:t xml:space="preserve"> </w:t>
      </w:r>
      <ns1:oMath>
        <ns1:sSup>
          <ns1:e>
            <ns1:r>
              <w:rPr>
                <w:rFonts w:ascii="Times New Roman" w:hAnsi="Times New Roman" w:eastAsia="Times New Roman" w:cs="Times New Roman"/>
                <w:highlight w:val="yellow"/>
              </w:rPr>
              <ns1:t>10</ns1:t>
            </ns1:r>
          </ns1:e>
          <ns1: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6</ns1:t>
            </ns1:r>
          </ns1:sup>
        </ns1:sSup>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prediction-constraint residual check.</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R</ns1:t>
                    </ns1:r>
                  </ns1:e>
                  <ns1:sub>
                    <ns1:r>
                      <ns1:rPr>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f>
                  <ns1:fPr>
                    <ns1:type ns1:val="bar"/>
                  </ns1:fPr>
                  <ns1:num>
                    <ns1:nary>
                      <ns1:naryPr>
                        <ns1:chr ns1:val="∑"/>
                        <ns1:limLoc ns1:val="undOvr"/>
                        <ns1:subHide ns1:val="off"/>
                        <ns1:supHide ns1:val="off"/>
                      </ns1:naryPr>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up>
                      <ns1:e>
                        <ns1:nary>
                          <ns1:naryPr>
                            <ns1:chr ns1:val="∑"/>
                            <ns1:limLoc ns1:val="undOvr"/>
                            <ns1:subHide ns1:val="off"/>
                            <ns1:supHide ns1:val="off"/>
                          </ns1:naryPr>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nary>
                              <ns1:naryPr>
                                <ns1:chr ns1:val="∑"/>
                                <ns1:limLoc ns1:val="undOvr"/>
                                <ns1:subHide ns1:val="off"/>
                                <ns1:supHide ns1:val="off"/>
                              </ns1:naryPr>
                              <ns1:sub>
                                <ns1: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r>
                                  <ns1:rPr>
                                    <ns1:sty ns1:val="b"/>
                                  </ns1:rPr>
                                  <w:rPr>
                                    <w:rFonts w:ascii="Times New Roman" w:hAnsi="Times New Roman" w:eastAsia="Times New Roman" w:cs="Times New Roman"/>
                                  </w:rPr>
                                  <ns1:t>1</ns1:t>
                                </ns1:r>
                              </ns1:e>
                            </ns1:nary>
                          </ns1:e>
                        </ns1:nary>
                      </ns1:e>
                    </ns1:nary>
                    <ns1:r>
                      <ns1:rPr>
                        <ns1:sty ns1:val="p"/>
                      </ns1:rPr>
                      <w:rPr>
                        <w:rFonts w:ascii="Times New Roman" w:hAnsi="Times New Roman" w:eastAsia="Times New Roman" w:cs="Times New Roman"/>
                      </w:rPr>
                      <ns1:t>{</ns1:t>
                    </ns1:r>
                    <ns1:limLow>
                      <ns1:e>
                        <ns1:r>
                          <ns1:rPr>
                            <ns1:sty ns1:val="p"/>
                          </ns1:rPr>
                          <w:rPr>
                            <w:rFonts w:ascii="Times New Roman" w:hAnsi="Times New Roman" w:eastAsia="Times New Roman" w:cs="Times New Roman"/>
                          </w:rPr>
                          <ns1:t>min</ns1:t>
                        </ns1:r>
                      </ns1:e>
                      <ns1:lim>
                        <ns1:r>
                          <w:rPr>
                            <w:rFonts w:ascii="Times New Roman" w:hAnsi="Times New Roman" w:eastAsia="Times New Roman" w:cs="Times New Roman"/>
                          </w:rPr>
                          <ns1:t>j</ns1:t>
                        </ns1:r>
                      </ns1:lim>
                    </ns1:limLow>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num>
                  <ns1:den>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den>
                </ns1:f>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(12)</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η</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A single-rollout diagnostic such as 4/300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reported only for that diagnostic rollout.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highlight w:val="yellow"/>
        </w:rPr>
        <w:t xml:space="preserve">Table 2. </w:t>
      </w:r>
      <w:r>
        <w:rPr>
          <w:rFonts w:ascii="Times New Roman" w:hAnsi="Times New Roman" w:eastAsia="Times New Roman" w:cs="Times New Roman"/>
          <w:sz w:val="20"/>
          <w:szCs w:val="20"/>
          <w:highlight w:val="yellow"/>
        </w:rPr>
        <w:t xml:space="preserve">Primary</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sample-level constraint violation rate (%) at controller instants under a fixed upstream deviation proposal, computed by Eq. </w:t>
      </w:r>
      <w:r>
        <w:rPr>
          <w:rFonts w:ascii="Times New Roman" w:hAnsi="Times New Roman" w:eastAsia="Times New Roman" w:cs="Times New Roman"/>
          <w:sz w:val="20"/>
          <w:szCs w:val="20"/>
          <w:highlight w:val="yellow"/>
        </w:rPr>
        <w:t xml:space="preserve">(12)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a raw-margin numerical tolerance of</w:t>
      </w:r>
      <w:r>
        <w:rPr>
          <w:rFonts w:ascii="Times New Roman" w:hAnsi="Times New Roman" w:eastAsia="Times New Roman" w:cs="Times New Roman"/>
          <w:sz w:val="20"/>
          <w:szCs w:val="20"/>
          <w:highlight w:val="yellow"/>
        </w:rPr>
        <w:t xml:space="preserve"> </w:t>
      </w:r>
      <ns1:oMath>
        <ns1:sSup>
          <ns1:e>
            <ns1:r>
              <w:rPr>
                <w:rFonts w:ascii="Times New Roman" w:hAnsi="Times New Roman" w:eastAsia="Times New Roman" w:cs="Times New Roman"/>
                <w:highlight w:val="yellow"/>
              </w:rPr>
              <ns1:t>10</ns1:t>
            </ns1:r>
          </ns1:e>
          <ns1: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2</ns1:t>
            </ns1:r>
          </ns1:sup>
        </ns1:sSup>
      </ns1:oMath>
      <w:r>
        <w:rPr>
          <w:rFonts w:ascii="Times New Roman" w:hAnsi="Times New Roman" w:eastAsia="Times New Roman" w:cs="Times New Roman"/>
          <w:sz w:val="20"/>
          <w:szCs w:val="20"/>
          <w:highlight w:val="yellow"/>
        </w:rPr>
        <w:t xml:space="preserve">. Each cell aggregates five 500-sample rollouts, i.e., 2500 controller samples. The full-margin row tests the conservative</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 under actuator limits; it is not the recommended commissioned operating point.</w:t>
      </w:r>
    </w:p>
    <w:tbl>
      <w:tblPr>
        <w:tblStyle w:val="Table"/>
        <w:tblW w:type="dxa" w:w="8500"/>
        <w:tblLook w:firstRow="1" w:lastRow="0" w:firstColumn="0" w:lastColumn="0" w:noHBand="0" w:noVBand="0" w:val="0020"/>
        <w:tblCaption w:val="Table 2. Primary \Delta g=0 validation: sample-level constraint violation rate (%) at controller instants under a fixed upstream deviation proposal, computed by Eq. [eq:sample_violation_rate] with a raw-margin numerical tolerance of 10^{-2}. Each cell aggregates five 500-sample rollouts, i.e., 2500 controller samples. The full-margin row tests the conservative \epsilon_\kappa=1.0 endpoint under actuator limits; it is not the recommended commissioned operating poi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4.48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NMPC (</w:t>
            </w:r>
            <ns1:oMath>
              <ns1:r>
                <w:rPr>
                  <w:rFonts w:ascii="Times New Roman" w:hAnsi="Times New Roman" w:eastAsia="Times New Roman" w:cs="Times New Roman"/>
                  <w:highlight w:val="yellow"/>
                </w:rPr>
                <ns1:t>N</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5</ns1:t>
              </ns1:r>
            </ns1: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0.40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GP-HOCBF mean-only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 commissioned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0.02</ns1:t>
              </ns1:r>
            </ns1: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in S3; 0 otherwise)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Full-margin endpoint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1.0</ns1:t>
              </ns1:r>
            </ns1:oMath>
            <w:r>
              <w:rPr>
                <w:rFonts w:ascii="Times New Roman" w:hAnsi="Times New Roman" w:eastAsia="Times New Roman" w:cs="Times New Roman"/>
                <w:sz w:val="18"/>
                <w:szCs w:val="18"/>
                <w:highlight w:val="yellow"/>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16.76</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the certificate-aligned</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unfiltered proposal violates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of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perturbation samples. Correct relative degree removes all 112 nominal violations but does not compensate drift mismatch: no-GP HOCBF retains the same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perturbation-sample violations. GP mean correction reduces this count to 36/15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all in S3. Applying the independently selected</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0.02</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S3 gives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across the nominal and six mismatch conditions. NMPC is also effective, with 35/17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violations and no solver failure, but does not eliminate the short boundary transients in the six mismatch cases.</w:t>
      </w:r>
    </w:p>
    <w:p>
      <w:pPr>
        <w:pStyle w:val="3"/>
        <w:jc w:val="left"/>
        <w:ind w:firstLine="420"/>
      </w:pPr>
      <w:r>
        <w:rPr>
          <w:rFonts w:ascii="Times New Roman" w:hAnsi="Times New Roman" w:eastAsia="Times New Roman" w:cs="Times New Roman"/>
          <w:sz w:val="20"/>
          <w:szCs w:val="20"/>
          <w:highlight w:val="yellow"/>
        </w:rPr>
        <w:t xml:space="preserve">The full-margin row shows why</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commissioned rather than set mechanically to its largest value. The endpoint remains safe in nominal, S1, S2, S5, and S6, but it produces 419 S3 violations and 12 S4 violations when the actuator-bounded robust QP loses feasibility. This does not contradict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which requires feasibility of the original robust QP at every certified step.</w:t>
      </w:r>
    </w:p>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that feasibility mechanism explicit for S3. The revised experiment records every QP attempt, rejected candidate, fallback, intervention, and normalized residual. The commissioned row has four rejected initial-step QPs but no ensuing state-limit violation; the full-margin endpoint rejects 628 of 2500 QPs and reverts to the upstream command in those cycles.</w:t>
      </w:r>
    </w:p>
    <w:p>
      <w:pPr>
        <w:jc w:val="left"/>
        <w:spacing w:before="80" w:after="120"/>
        <w:keepLines/>
      </w:pPr>
      <w:r>
        <w:rPr>
          <w:rFonts w:ascii="Times New Roman" w:hAnsi="Times New Roman" w:eastAsia="Times New Roman" w:cs="Times New Roman"/>
          <w:sz w:val="20"/>
          <w:szCs w:val="20"/>
          <w:b/>
          <w:bCs/>
          <w:highlight w:val="yellow"/>
        </w:rPr>
        <w:t xml:space="preserve">Table 3. </w:t>
      </w:r>
      <w:r>
        <w:rPr>
          <w:rFonts w:ascii="Times New Roman" w:hAnsi="Times New Roman" w:eastAsia="Times New Roman" w:cs="Times New Roman"/>
          <w:sz w:val="20"/>
          <w:szCs w:val="20"/>
          <w:color w:val="000000"/>
          <w:b/>
          <w:bCs/>
          <w:i/>
          <w:iCs/>
          <w:highlight w:val="yellow"/>
        </w:rPr>
        <w:t xml:space="preserve">S3 solver and intervention diagnostics for the primary</w:t>
      </w:r>
      <w:r>
        <w:rPr>
          <w:rFonts w:ascii="Times New Roman" w:hAnsi="Times New Roman" w:eastAsia="Times New Roman" w:cs="Times New Roman"/>
          <w:sz w:val="20"/>
          <w:szCs w:val="20"/>
          <w:color w:val="000000"/>
          <w:b/>
          <w:bCs/>
          <w:i/>
          <w:iCs/>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color w:val="000000"/>
          <w:b/>
          <w:bCs/>
          <w:i/>
          <w:iCs/>
          <w:highlight w:val="yellow"/>
        </w:rPr>
        <w:t xml:space="preserve"> </w:t>
      </w:r>
      <w:r>
        <w:rPr>
          <w:rFonts w:ascii="Times New Roman" w:hAnsi="Times New Roman" w:eastAsia="Times New Roman" w:cs="Times New Roman"/>
          <w:sz w:val="20"/>
          <w:szCs w:val="20"/>
          <w:color w:val="000000"/>
          <w:b/>
          <w:bCs/>
          <w:i/>
          <w:iCs/>
          <w:highlight w:val="yellow"/>
        </w:rPr>
        <w:t xml:space="preserve">validation. Each row contains 2500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highlight w:val="yellow"/>
        </w:rPr>
        <w:t xml:space="preserve"> </w:t>
      </w:r>
      <ns1:oMath>
        <ns1:sSup>
          <ns1:e>
            <ns1:r>
              <w:rPr>
                <w:rFonts w:ascii="Times New Roman" w:hAnsi="Times New Roman" w:eastAsia="Times New Roman" w:cs="Times New Roman"/>
                <w:highlight w:val="yellow"/>
              </w:rPr>
              <ns1:t>10</ns1:t>
            </ns1:r>
          </ns1:e>
          <ns1: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6</ns1:t>
            </ns1:r>
          </ns1:sup>
        </ns1:sSup>
      </ns1:oMath>
      <w:r>
        <w:rPr>
          <w:rFonts w:ascii="Times New Roman" w:hAnsi="Times New Roman" w:eastAsia="Times New Roman" w:cs="Times New Roman"/>
          <w:sz w:val="20"/>
          <w:szCs w:val="20"/>
          <w:color w:val="000000"/>
          <w:b/>
          <w:bCs/>
          <w:i/>
          <w:iCs/>
          <w:highlight w:val="yellow"/>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800"/>
        <w:gridCol w:w="1675"/>
        <w:gridCol w:w="1675"/>
        <w:gridCol w:w="1675"/>
        <w:gridCol w:w="1675"/>
      </w:tblGrid>
      <w:tr>
        <w:trPr>
          <w:tblHeader w:val="on"/>
        </w:trPr>
        <w:tc>
          <w:tcPr>
            <w:tcW w:w="1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S3 method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Violation</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rejected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Fallback</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intervention</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1682 of 2500 (67.28%)</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4.48%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GP-HOCBF mean-only</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36 of 2500 (1.44%)</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67.08%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w:t>
            </w:r>
            <w:r>
              <w:rPr>
                <w:rFonts w:ascii="Times New Roman" w:hAnsi="Times New Roman" w:eastAsia="Times New Roman" w:cs="Times New Roman"/>
                <w:sz w:val="18"/>
                <w:szCs w:val="18"/>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0.02</ns1:t>
              </ns1:r>
            </ns1:oMath>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67.12%</w:t>
            </w:r>
          </w:p>
        </w:tc>
      </w:tr>
      <w:tr>
        <w:tc>
          <w:tcPr>
            <w:tcW w:w="1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Full-margin endpoint</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419 of 2500 (16.76%)</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51.12%</w:t>
            </w:r>
          </w:p>
        </w:tc>
      </w:tr>
    </w:tbl>
    <w:p>
      <w:pPr>
        <w:pStyle w:val="3"/>
        <w:jc w:val="left"/>
        <w:ind w:firstLine="420"/>
      </w:pPr>
      <w:r>
        <w:rPr>
          <w:rFonts w:ascii="Times New Roman" w:hAnsi="Times New Roman" w:eastAsia="Times New Roman" w:cs="Times New Roman"/>
          <w:sz w:val="20"/>
          <w:szCs w:val="20"/>
          <w:highlight w:val="yellow"/>
        </w:rPr>
        <w:t xml:space="preserve">The results indicate a mechanism hierarchy: correct HOCBF structure handles nominal constraint geometry, GP residual correction is the principal mismatch-compensation mechanism, and</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finite-sample feasibility–safety trade-off.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391858"/>
            <ns2:effectExtent b="0" l="0" r="0" t="0"/>
            <ns2:docPr descr="" title="" id="120" name="Picture"/>
            <ns3:graphic>
              <ns3:graphicData uri="http://schemas.openxmlformats.org/drawingml/2006/picture">
                <ns4:pic>
                  <ns4:nvPicPr>
                    <ns4:cNvPr descr="figures/Figure_6_process_response.png" id="121" name="Picture"/>
                    <ns4:cNvPicPr>
                      <ns3:picLocks noChangeArrowheads="1" noChangeAspect="1"/>
                    </ns4:cNvPicPr>
                  </ns4:nvPicPr>
                  <ns4:blipFill>
                    <ns3:blip ns5:embed="rId119"/>
                    <ns3:stretch>
                      <ns3:fillRect/>
                    </ns3:stretch>
                  </ns4:blipFill>
                  <ns4:spPr bwMode="auto">
                    <ns3:xfrm>
                      <ns3:off x="0" y="0"/>
                      <ns3:ext cx="5006975" cy="3391858"/>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2. </w:t>
      </w:r>
      <w:r>
        <w:rPr>
          <w:rFonts w:ascii="Times New Roman" w:hAnsi="Times New Roman" w:eastAsia="Times New Roman" w:cs="Times New Roman"/>
          <w:sz w:val="20"/>
          <w:szCs w:val="20"/>
          <w:highlight w:val="yellow"/>
        </w:rPr>
        <w:t xml:space="preserve">Closed-loop mechanism for representative seed 3 under the certificate-aligned S3 drift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Enthalpy safety margin and normalized QP correction over the 45–135 s interval containing the onset and largest excursion. The shaded region marks violation of the lower enthalpy constraint.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 300 s event record.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Full-rollout minimum enthalpy margin and sample-level violation rate; the symmetric-log horizontal scale resolves the two near-zero margins while retaining the large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highlight w:val="yellow"/>
        </w:rPr>
        <w:t xml:space="preserve"> </w:t>
      </w:r>
      <ns1:oMath>
        <ns1:sSup>
          <ns1:e>
            <ns1:r>
              <w:rPr>
                <w:rFonts w:ascii="Times New Roman" w:hAnsi="Times New Roman" w:eastAsia="Times New Roman" w:cs="Times New Roman"/>
                <w:highlight w:val="yellow"/>
              </w:rPr>
              <ns1:t>10</ns1:t>
            </ns1:r>
          </ns1:e>
          <ns1:sup>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2</ns1:t>
            </ns1:r>
          </ns1:sup>
        </ns1:sSup>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counting tolerance defined in Eq. </w:t>
      </w:r>
      <w:r>
        <w:rPr>
          <w:rFonts w:ascii="Times New Roman" w:hAnsi="Times New Roman" w:eastAsia="Times New Roman" w:cs="Times New Roman"/>
          <w:sz w:val="20"/>
          <w:szCs w:val="20"/>
          <w:highlight w:val="yellow"/>
        </w:rPr>
        <w:t xml:space="preserve">(12)</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In this representative rollout, the no-GP HOCBF records 203/300 violations, GP mean correction reduces the count to 30/300, and the calibrated setting records 0/300. The corresponding minimum enthalpy margins are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-51.993</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-0.01996</w:t>
      </w:r>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+0.01028</w:t>
      </w:r>
      <w:r>
        <w:rPr>
          <w:rFonts w:ascii="Times New Roman" w:hAnsi="Times New Roman" w:eastAsia="Times New Roman" w:cs="Times New Roman"/>
          <w:sz w:val="20"/>
          <w:szCs w:val="20"/>
          <w:highlight w:val="yellow"/>
        </w:rPr>
        <w:t xml:space="preserve"> kJ/kg. This single-trajectory diagnostic illustrates the mechanism and is not used in place of the five-seed aggregate in Tables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shows the enthalpy bottleneck directly in a representative S3 rollout. HOCBF without GP correction produces 203/300 violating samples and a minimum enthalpy margin 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-51.993</w:t>
      </w:r>
      <w:r>
        <w:rPr>
          <w:rFonts w:ascii="Times New Roman" w:hAnsi="Times New Roman" w:eastAsia="Times New Roman" w:cs="Times New Roman"/>
          <w:sz w:val="20"/>
          <w:szCs w:val="20"/>
          <w:highlight w:val="yellow"/>
        </w:rPr>
        <w:t xml:space="preserve"> kJ/kg. GP mean correction limits the excursion 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-0.01996</w:t>
      </w:r>
      <w:r>
        <w:rPr>
          <w:rFonts w:ascii="Times New Roman" w:hAnsi="Times New Roman" w:eastAsia="Times New Roman" w:cs="Times New Roman"/>
          <w:sz w:val="20"/>
          <w:szCs w:val="20"/>
          <w:highlight w:val="yellow"/>
        </w:rPr>
        <w:t xml:space="preserve"> kJ/kg but still leaves 30 samples below the stated numerical tolerance, whereas the calibrated</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0.02</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margin keeps the minimum positive at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+0.01028</w:t>
      </w:r>
      <w:r>
        <w:rPr>
          <w:rFonts w:ascii="Times New Roman" w:hAnsi="Times New Roman" w:eastAsia="Times New Roman" w:cs="Times New Roman"/>
          <w:sz w:val="20"/>
          <w:szCs w:val="20"/>
          <w:highlight w:val="yellow"/>
        </w:rPr>
        <w:t xml:space="preserve"> kJ/kg. The correction and event panels show that this change is produced by sustained QP intervention rather than by a different upstream proposal.</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124" name="Picture"/>
            <ns3:graphic>
              <ns3:graphicData uri="http://schemas.openxmlformats.org/drawingml/2006/picture">
                <ns4:pic>
                  <ns4:nvPicPr>
                    <ns4:cNvPr descr="figures/Figure_8_model_mismatch.png" id="125" name="Picture"/>
                    <ns4:cNvPicPr>
                      <ns3:picLocks noChangeArrowheads="1" noChangeAspect="1"/>
                    </ns4:cNvPicPr>
                  </ns4:nvPicPr>
                  <ns4:blipFill>
                    <ns3:blip ns5:embed="rId123"/>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3. </w:t>
      </w:r>
      <w:r>
        <w:rPr>
          <w:rFonts w:ascii="Times New Roman" w:hAnsi="Times New Roman" w:eastAsia="Times New Roman" w:cs="Times New Roman"/>
          <w:sz w:val="20"/>
          <w:szCs w:val="20"/>
          <w:highlight w:val="yellow"/>
        </w:rPr>
        <w:t xml:space="preserve">Direct model-mismatch diagnosis under the certificate-aligned S3 drift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Nominal and true one-step enthalpy-margin responses from identical state-input pairs.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and enthalpy residual rates compared with the scenario-specific GP posterior mean and GP-UCB envelope (</w:t>
      </w:r>
      <ns1:oMath>
        <ns1:sSub>
          <ns1:e>
            <ns1:r>
              <w:rPr>
                <w:rFonts w:ascii="Times New Roman" w:hAnsi="Times New Roman" w:eastAsia="Times New Roman" w:cs="Times New Roman"/>
                <w:highlight w:val="yellow"/>
              </w:rPr>
              <ns1:t>μ</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β</ns1:t>
        </ns1:r>
        <ns1:sSub>
          <ns1:e>
            <ns1:r>
              <w:rPr>
                <w:rFonts w:ascii="Times New Roman" w:hAnsi="Times New Roman" w:eastAsia="Times New Roman" w:cs="Times New Roman"/>
                <w:highlight w:val="yellow"/>
              </w:rPr>
              <ns1:t>σ</ns1:t>
            </ns1:r>
          </ns1:e>
          <ns1:sub>
            <ns1:r>
              <ns1:rPr>
                <ns1:sty ns1:val="p"/>
              </ns1:rP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P</ns1:t>
            </ns1:r>
          </ns1:sub>
        </ns1:sSub>
      </ns1: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β</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12.967</ns1:t>
        </ns1:r>
      </ns1: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N</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500</ns1:t>
        </ns1:r>
      </ns1: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 residual error normalized by the GP-UCB bound; values below one lie inside the modeled envelope.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the model mismatch explicit. For the same state and zero-deviation input, the nominal model predicts a next-step enthalpy margin of 28.0 kJ/kg, whereas the S3 plant drops 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-12.0</w:t>
      </w:r>
      <w:r>
        <w:rPr>
          <w:rFonts w:ascii="Times New Roman" w:hAnsi="Times New Roman" w:eastAsia="Times New Roman" w:cs="Times New Roman"/>
          <w:sz w:val="20"/>
          <w:szCs w:val="20"/>
          <w:highlight w:val="yellow"/>
        </w:rPr>
        <w:t xml:space="preserve"> kJ/kg. The pressure and enthalpy panels show that this discrepancy is structured and learnable: the GP posterior mean tracks the realized drift residual, and the remaining error stays inside the GP-UCB envelope in this diagnostic. The filter therefore corrects a measured residual structure before applying the commissioned margin.</w:t>
      </w:r>
    </w:p>
    <w:p>
      <w:pPr>
        <w:jc w:val="center"/>
        <w:keepNext/>
      </w:pPr>
      <w:r>
        <w:rPr>
          <w:rFonts w:ascii="Times New Roman" w:hAnsi="Times New Roman" w:eastAsia="Times New Roman" w:cs="Times New Roman"/>
          <w:sz w:val="20"/>
          <w:szCs w:val="20"/>
        </w:rPr>
        <w:drawing>
          <ns2:inline>
            <ns2:extent cx="5006975" cy="1973008"/>
            <ns2:effectExtent b="0" l="0" r="0" t="0"/>
            <ns2:docPr descr="" title="" id="128" name="Picture"/>
            <ns3:graphic>
              <ns3:graphicData uri="http://schemas.openxmlformats.org/drawingml/2006/picture">
                <ns4:pic>
                  <ns4:nvPicPr>
                    <ns4:cNvPr descr="figures/Figure_2.png" id="129" name="Picture"/>
                    <ns4:cNvPicPr>
                      <ns3:picLocks noChangeArrowheads="1" noChangeAspect="1"/>
                    </ns4:cNvPicPr>
                  </ns4:nvPicPr>
                  <ns4:blipFill>
                    <ns3:blip ns5:embed="rId127"/>
                    <ns3:stretch>
                      <ns3:fillRect/>
                    </ns3:stretch>
                  </ns4:blipFill>
                  <ns4:spPr bwMode="auto">
                    <ns3:xfrm>
                      <ns3:off x="0" y="0"/>
                      <ns3:ext cx="5006975" cy="1973008"/>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4. </w:t>
      </w:r>
      <w:r>
        <w:rPr>
          <w:rFonts w:ascii="Times New Roman" w:hAnsi="Times New Roman" w:eastAsia="Times New Roman" w:cs="Times New Roman"/>
          <w:sz w:val="20"/>
          <w:szCs w:val="20"/>
          <w:highlight w:val="yellow"/>
        </w:rPr>
        <w:t xml:space="preserve">Tune/test calibration of</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Pooled and maximum-per-seed violation and QP-rejection rates for tune seeds 0–2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 for held-out seeds 3–4 after fixing</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0.02</ns1:t>
        </ns1:r>
      </ns1:oMath>
      <w:r>
        <w:rPr>
          <w:rFonts w:ascii="Times New Roman" w:hAnsi="Times New Roman" w:eastAsia="Times New Roman" w:cs="Times New Roman"/>
          <w:sz w:val="20"/>
          <w:szCs w:val="20"/>
          <w:highlight w:val="yellow"/>
        </w:rPr>
        <w:t xml:space="preserve">; no retuning used the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holdout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calibration from confirmation. On tune seeds 0–2,</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412/15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(2.747%). The smallest setting passing both gates is 0.02, with 19/15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(0.127%) and 20/15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(0.133%). After fixing this value, held-out seeds 3–4 give 66/50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(0.132%) and 72/50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(0.144%), with both individual seeds below the same gates. The Wilson values in the Supplemental Material are descriptive Bernoulli-reference bounds because adjacent controller samples are serially correlated. These results define a finite-sample operating point, not a zero-violation guarantee.</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133" name="Picture"/>
            <ns3:graphic>
              <ns3:graphicData uri="http://schemas.openxmlformats.org/drawingml/2006/picture">
                <ns4:pic>
                  <ns4:nvPicPr>
                    <ns4:cNvPr descr="figures/Figure_GP_data_sensitivity.png" id="134" name="Picture"/>
                    <ns4:cNvPicPr>
                      <ns3:picLocks noChangeArrowheads="1" noChangeAspect="1"/>
                    </ns4:cNvPicPr>
                  </ns4:nvPicPr>
                  <ns4:blipFill>
                    <ns3:blip ns5:embed="rId132"/>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5. </w:t>
      </w:r>
      <w:r>
        <w:rPr>
          <w:rFonts w:ascii="Times New Roman" w:hAnsi="Times New Roman" w:eastAsia="Times New Roman" w:cs="Times New Roman"/>
          <w:sz w:val="20"/>
          <w:szCs w:val="20"/>
          <w:highlight w:val="yellow"/>
        </w:rPr>
        <w:t xml:space="preserve">Controlled GP training-data sensitivity 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GP commissioning gate rather than treating every fitted model as deployable. Across 100, 250, and 500 clean training transitions, held-out NRMSE remains between 0.00184 and 0.00243, interval coverage is 100%, and</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0.02</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0/2500 violations with 0.16% QP rejection at each size. Controlled label corruption raises NRMSE by approximately two orders of magnitude and drives QP rejection to 95.64–99.88%; fallback to the upstream proposal then produces 64.96–67.20% violation. These deliberately corrupted models fail the pre-enable quality and feasibility gate.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highlight w:val="yellow"/>
        </w:rPr>
        <w:t>4.4 Real-Time Computation</w:t>
      </w:r>
    </w:p>
    <w:p>
      <w:pPr>
        <w:pStyle w:val="11"/>
        <w:jc w:val="left"/>
        <w:ind w:firstLine="420"/>
      </w:pPr>
      <w:r>
        <w:rPr>
          <w:rFonts w:ascii="Times New Roman" w:hAnsi="Times New Roman" w:eastAsia="Times New Roman" w:cs="Times New Roman"/>
          <w:sz w:val="20"/>
          <w:szCs w:val="20"/>
          <w:highlight w:val="yellow"/>
        </w:rPr>
        <w:t xml:space="preserve">The deployment configuration specifies an AMD EPYC Embedded 4565P processor, 64 GB (2</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highlight w:val="yellow"/>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highlight w:val="yellow"/>
        </w:rPr>
        <w:t>4.5 Measured Plant Evidence: Envelope, Matched Windows, and Controller Logs</w:t>
      </w:r>
    </w:p>
    <w:p>
      <w:pPr>
        <w:pStyle w:val="11"/>
        <w:jc w:val="left"/>
        <w:ind w:firstLine="420"/>
      </w:pPr>
      <w:r>
        <w:rPr>
          <w:rFonts w:ascii="Times New Roman" w:hAnsi="Times New Roman" w:eastAsia="Times New Roman" w:cs="Times New Roman"/>
          <w:sz w:val="20"/>
          <w:szCs w:val="20"/>
          <w:highlight w:val="yellow"/>
        </w:rPr>
        <w:t xml:space="preserve">The simulation benchmark establishes the closed-loop mechanism: GP residual correction closes most of the model mismatch,</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a bounded historian snapshot from the 660 MW unit as an operating-envelope check. The grey envelope uses an approximately 24 h loaded operating window from 1 July 2026 02:33 to 2 July 2026 02:28 local time (</w:t>
      </w:r>
      <ns1:oMath>
        <ns1:r>
          <w:rPr>
            <w:rFonts w:ascii="Times New Roman" w:hAnsi="Times New Roman" w:eastAsia="Times New Roman" w:cs="Times New Roman"/>
            <w:highlight w:val="yellow"/>
          </w:rPr>
          <ns1:t>n</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288</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139" name="Picture"/>
            <ns3:graphic>
              <ns3:graphicData uri="http://schemas.openxmlformats.org/drawingml/2006/picture">
                <ns4:pic>
                  <ns4:nvPicPr>
                    <ns4:cNvPr descr="figures/Figure_9_production_historian.png" id="140" name="Picture"/>
                    <ns4:cNvPicPr>
                      <ns3:picLocks noChangeArrowheads="1" noChangeAspect="1"/>
                    </ns4:cNvPicPr>
                  </ns4:nvPicPr>
                  <ns4:blipFill>
                    <ns3:blip ns5:embed="rId138"/>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6. </w:t>
      </w:r>
      <w:r>
        <w:rPr>
          <w:rFonts w:ascii="Times New Roman" w:hAnsi="Times New Roman" w:eastAsia="Times New Roman" w:cs="Times New Roman"/>
          <w:sz w:val="20"/>
          <w:szCs w:val="20"/>
          <w:highlight w:val="yellow"/>
        </w:rPr>
        <w:t xml:space="preserve">Plant-historian operating-envelope check from the 660 MW ultra-supercritical 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highlight w:val="yellow"/>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low-to-mid-load historian context windows (MW01–MW03), whose main-steam-pressure ranges are 13.21–19.15 MPa. They do not supply controller-internal QP fields. Load was strongly correlated with pressure (</w:t>
      </w:r>
      <ns1:oMath>
        <ns1:r>
          <w:rPr>
            <w:rFonts w:ascii="Times New Roman" w:hAnsi="Times New Roman" w:eastAsia="Times New Roman" w:cs="Times New Roman"/>
            <w:highlight w:val="yellow"/>
          </w:rPr>
          <ns1:t>r</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0.986</ns1:t>
        </ns1:r>
      </ns1:oMath>
      <w:r>
        <w:rPr>
          <w:rFonts w:ascii="Times New Roman" w:hAnsi="Times New Roman" w:eastAsia="Times New Roman" w:cs="Times New Roman"/>
          <w:sz w:val="20"/>
          <w:szCs w:val="20"/>
          <w:highlight w:val="yellow"/>
        </w:rPr>
        <w:t xml:space="preserve">) and fuel flow (</w:t>
      </w:r>
      <ns1:oMath>
        <ns1:r>
          <w:rPr>
            <w:rFonts w:ascii="Times New Roman" w:hAnsi="Times New Roman" w:eastAsia="Times New Roman" w:cs="Times New Roman"/>
            <w:highlight w:val="yellow"/>
          </w:rPr>
          <ns1:t>r</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0.980</ns1:t>
        </ns1:r>
      </ns1:oMath>
      <w:r>
        <w:rPr>
          <w:rFonts w:ascii="Times New Roman" w:hAnsi="Times New Roman" w:eastAsia="Times New Roman" w:cs="Times New Roman"/>
          <w:sz w:val="20"/>
          <w:szCs w:val="20"/>
          <w:highlight w:val="yellow"/>
        </w:rPr>
        <w:t xml:space="preserve">), confirming pressure–combustion coupling during load following. The MW04–MW06 controller exports analyzed below provide the separate execution evidence at 480.7–629.7 MW (72.8–95.4% of nameplate power).</w:t>
      </w:r>
    </w:p>
    <w:p>
      <w:pPr>
        <w:pStyle w:val="3"/>
        <w:jc w:val="left"/>
        <w:ind w:firstLine="420"/>
      </w:pPr>
      <w:r>
        <w:rPr>
          <w:rFonts w:ascii="Times New Roman" w:hAnsi="Times New Roman" w:eastAsia="Times New Roman" w:cs="Times New Roman"/>
          <w:sz w:val="20"/>
          <w:szCs w:val="20"/>
          <w:highlight w:val="yellow"/>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historical pre-retrofit windows from 2024–2025 and post-retrofit windows after the first 24 h of restart, retaining loaded operation and matching by load trajectory. The audit retained 1950 two-hour windows during loaded operation. Across this matched-window cohort, the period-median pressure setpoint-residual standard deviation and 95th-percentile absolute residual decrease by 12.6% and 23.4%, respectively. The representative pair below uses the original 5 s historian samples, with historian files, source timestamps, and metric JSON preserved in the evidence package. Because routine maintenance occurred during the same outage, the plant-response comparison is interpreted as observational evidence associated with the documented retrofit under matched load movement, rather than as a standalone estimate of the algorithm’s causal effect.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143" name="Picture"/>
            <ns3:graphic>
              <ns3:graphicData uri="http://schemas.openxmlformats.org/drawingml/2006/picture">
                <ns4:pic>
                  <ns4:nvPicPr>
                    <ns4:cNvPr descr="figures/Figure_10_production_retrofit_evidence.png" id="144" name="Picture"/>
                    <ns4:cNvPicPr>
                      <ns3:picLocks noChangeArrowheads="1" noChangeAspect="1"/>
                    </ns4:cNvPicPr>
                  </ns4:nvPicPr>
                  <ns4:blipFill>
                    <ns3:blip ns5:embed="rId142"/>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7. </w:t>
      </w:r>
      <w:r>
        <w:rPr>
          <w:rFonts w:ascii="Times New Roman" w:hAnsi="Times New Roman" w:eastAsia="Times New Roman" w:cs="Times New Roman"/>
          <w:sz w:val="20"/>
          <w:szCs w:val="20"/>
          <w:highlight w:val="yellow"/>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active-power trajectories used for matching; the mean-load difference 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-0.72</w:t>
      </w:r>
      <w:r>
        <w:rPr>
          <w:rFonts w:ascii="Times New Roman" w:hAnsi="Times New Roman" w:eastAsia="Times New Roman" w:cs="Times New Roman"/>
          <w:sz w:val="20"/>
          <w:szCs w:val="20"/>
          <w:highlight w:val="yellow"/>
        </w:rPr>
        <w:t xml:space="preserve"> MW and the load-profile RMSE is 10.7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Main-steam pressure and the sliding-pressure setpoint.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tracking error,</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p</ns1:t>
            </ns1:r>
          </ns1:e>
          <ns1:sub>
            <ns1:r>
              <ns1:rPr>
                <ns1:sty ns1:val="p"/>
              </ns1:rP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i</ns1:t>
            </ns1:r>
            <ns1:r>
              <ns1:rPr>
                <ns1:sty ns1:val="p"/>
              </ns1:rPr>
              <w:rPr>
                <w:rFonts w:ascii="Times New Roman" w:hAnsi="Times New Roman" w:eastAsia="Times New Roman" w:cs="Times New Roman"/>
                <w:highlight w:val="yellow"/>
              </w:rPr>
              <ns1:t>n</ns1:t>
            </ns1:r>
          </ns1:sub>
        </ns1:sSub>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p</ns1:t>
            </ns1:r>
          </ns1:e>
          <ns1:sub>
            <ns1:r>
              <ns1:rPr>
                <ns1:sty ns1:val="p"/>
              </ns1:rPr>
              <w:rPr>
                <w:rFonts w:ascii="Times New Roman" w:hAnsi="Times New Roman" w:eastAsia="Times New Roman" w:cs="Times New Roman"/>
                <w:highlight w:val="yellow"/>
              </w:rPr>
              <ns1:t>s</ns1:t>
            </ns1:r>
            <ns1:r>
              <ns1:rPr>
                <ns1:sty ns1:val="p"/>
              </ns1:rPr>
              <w:rPr>
                <w:rFonts w:ascii="Times New Roman" w:hAnsi="Times New Roman" w:eastAsia="Times New Roman" w:cs="Times New Roman"/>
                <w:highlight w:val="yellow"/>
              </w:rPr>
              <ns1:t>e</ns1:t>
            </ns1:r>
            <ns1:r>
              <ns1:rPr>
                <ns1:sty ns1:val="p"/>
              </ns1:rPr>
              <w:rPr>
                <w:rFonts w:ascii="Times New Roman" w:hAnsi="Times New Roman" w:eastAsia="Times New Roman" w:cs="Times New Roman"/>
                <w:highlight w:val="yellow"/>
              </w:rPr>
              <ns1:t>t</ns1:t>
            </ns1:r>
          </ns1:sub>
        </ns1:sSub>
      </ns1:oMath>
      <w:r>
        <w:rPr>
          <w:rFonts w:ascii="Times New Roman" w:hAnsi="Times New Roman" w:eastAsia="Times New Roman" w:cs="Times New Roman"/>
          <w:sz w:val="20"/>
          <w:szCs w:val="20"/>
          <w:highlight w:val="yellow"/>
        </w:rPr>
        <w:t xml:space="preserve">; the sample-level standard deviation decreases from 0.375 to 0.156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Fuel/load distribution for the combustion-side operating context; boxes show median, IQR, and 1.5</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147" name="Picture"/>
            <ns3:graphic>
              <ns3:graphicData uri="http://schemas.openxmlformats.org/drawingml/2006/picture">
                <ns4:pic>
                  <ns4:nvPicPr>
                    <ns4:cNvPr descr="figures/Figure_11_controller_log_validation.png" id="148" name="Picture"/>
                    <ns4:cNvPicPr>
                      <ns3:picLocks noChangeArrowheads="1" noChangeAspect="1"/>
                    </ns4:cNvPicPr>
                  </ns4:nvPicPr>
                  <ns4:blipFill>
                    <ns3:blip ns5:embed="rId146"/>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8. </w:t>
      </w:r>
      <w:r>
        <w:rPr>
          <w:rFonts w:ascii="Times New Roman" w:hAnsi="Times New Roman" w:eastAsia="Times New Roman" w:cs="Times New Roman"/>
          <w:sz w:val="20"/>
          <w:szCs w:val="20"/>
          <w:highlight w:val="yellow"/>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 power; the shaded band denotes 70–100% of the 660 MW nameplate rating.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MW power band. Cell shading is normalized within each column; annotations retain physical units.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optimal_recovered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 In those 43 records, the original pressure-low HOCBF row has</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M</ns1:t>
        </ns1:r>
        <ns1:sSub>
          <ns1:e>
            <ns1:r>
              <w:rPr>
                <w:rFonts w:ascii="Times New Roman" w:hAnsi="Times New Roman" w:eastAsia="Times New Roman" w:cs="Times New Roman"/>
                <w:highlight w:val="yellow"/>
              </w:rPr>
              <ns1:t>G</ns1:t>
            </ns1:r>
          </ns1:e>
          <ns1:sub>
            <ns1:r>
              <w:rPr>
                <w:rFonts w:ascii="Times New Roman" w:hAnsi="Times New Roman" w:eastAsia="Times New Roman" w:cs="Times New Roman"/>
                <w:highlight w:val="yellow"/>
              </w:rPr>
              <ns1:t>P</ns1:t>
            </ns1:r>
            <ns1:r>
              <w:rPr>
                <w:rFonts w:ascii="Times New Roman" w:hAnsi="Times New Roman" w:eastAsia="Times New Roman" w:cs="Times New Roman"/>
                <w:highlight w:val="yellow"/>
              </w:rPr>
              <ns1:t>L</ns1:t>
            </ns1:r>
            <ns1:r>
              <w:rPr>
                <w:rFonts w:ascii="Times New Roman" w:hAnsi="Times New Roman" w:eastAsia="Times New Roman" w:cs="Times New Roman"/>
                <w:highlight w:val="yellow"/>
              </w:rPr>
              <ns1:t>O</ns1:t>
            </ns1:r>
          </ns1:sub>
        </ns1:sSub>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0.03266</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0.00561</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while the directly measured margin remains</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P</ns1:t>
        </ns1:r>
        <ns1: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P</ns1:t>
        </ns1:r>
        <ns1:r>
          <w:rPr>
            <w:rFonts w:ascii="Times New Roman" w:hAnsi="Times New Roman" w:eastAsia="Times New Roman" w:cs="Times New Roman"/>
            <w:highlight w:val="yellow"/>
          </w:rPr>
          <ns1:t>L</ns1:t>
        </ns1:r>
        <ns1:r>
          <w:rPr>
            <w:rFonts w:ascii="Times New Roman" w:hAnsi="Times New Roman" w:eastAsia="Times New Roman" w:cs="Times New Roman"/>
            <w:highlight w:val="yellow"/>
          </w:rPr>
          <ns1:t>O</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2.21654</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2.36306</ns1:t>
        </ns1:r>
        <ns1:r>
          <ns1:rPr>
            <ns1:sty ns1:val="p"/>
          </ns1:rPr>
          <w:rPr>
            <w:rFonts w:ascii="Times New Roman" w:hAnsi="Times New Roman" w:eastAsia="Times New Roman" w:cs="Times New Roman"/>
            <w:highlight w:val="yellow"/>
          </w:rPr>
          <ns1:t>]</ns1:t>
        </ns1:r>
      </ns1:oMath>
      <w:r>
        <w:rPr>
          <w:rFonts w:ascii="Times New Roman" w:hAnsi="Times New Roman" w:eastAsia="Times New Roman" w:cs="Times New Roman"/>
          <w:sz w:val="20"/>
          <w:szCs w:val="20"/>
          <w:highlight w:val="yellow"/>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highlight w:val="yellow"/>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0.1</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p>
    <w:p>
      <w:pPr>
        <w:jc w:val="left"/>
        <w:spacing w:before="80" w:after="120"/>
        <w:keepLines/>
      </w:pPr>
      <w:r>
        <w:rPr>
          <w:rFonts w:ascii="Times New Roman" w:hAnsi="Times New Roman" w:eastAsia="Times New Roman" w:cs="Times New Roman"/>
          <w:sz w:val="20"/>
          <w:szCs w:val="20"/>
          <w:b/>
          <w:bCs/>
          <w:highlight w:val="yellow"/>
        </w:rPr>
        <w:t xml:space="preserve">Table 4. </w:t>
      </w:r>
      <w:r>
        <w:rPr>
          <w:rFonts w:ascii="Times New Roman" w:hAnsi="Times New Roman" w:eastAsia="Times New Roman" w:cs="Times New Roman"/>
          <w:sz w:val="20"/>
          <w:szCs w:val="20"/>
          <w:highlight w:val="yellow"/>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p</ns1:t>
            </ns1:r>
          </ns1:e>
          <ns1:sub>
            <ns1:r>
              <ns1:rPr>
                <ns1:sty ns1:val="p"/>
              </ns1:rPr>
              <w:rPr>
                <w:rFonts w:ascii="Times New Roman" w:hAnsi="Times New Roman" w:eastAsia="Times New Roman" w:cs="Times New Roman"/>
                <w:highlight w:val="yellow"/>
              </w:rPr>
              <ns1:t>s</ns1:t>
            </ns1:r>
            <ns1:r>
              <ns1:rPr>
                <ns1:sty ns1:val="p"/>
              </ns1:rPr>
              <w:rPr>
                <w:rFonts w:ascii="Times New Roman" w:hAnsi="Times New Roman" w:eastAsia="Times New Roman" w:cs="Times New Roman"/>
                <w:highlight w:val="yellow"/>
              </w:rPr>
              <ns1:t>e</ns1:t>
            </ns1:r>
            <ns1:r>
              <ns1:rPr>
                <ns1:sty ns1:val="p"/>
              </ns1:rPr>
              <w:rPr>
                <w:rFonts w:ascii="Times New Roman" w:hAnsi="Times New Roman" w:eastAsia="Times New Roman" w:cs="Times New Roman"/>
                <w:highlight w:val="yellow"/>
              </w:rPr>
              <ns1:t>p</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l</ns1:t>
            </ns1:r>
            <ns1:r>
              <ns1:rPr>
                <ns1:sty ns1:val="p"/>
              </ns1:rPr>
              <w:rPr>
                <w:rFonts w:ascii="Times New Roman" w:hAnsi="Times New Roman" w:eastAsia="Times New Roman" w:cs="Times New Roman"/>
                <w:highlight w:val="yellow"/>
              </w:rPr>
              <ns1:t>o</ns1:t>
            </ns1:r>
          </ns1:sub>
        </ns1:sSub>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P</ns1:t>
        </ns1:r>
        <ns1: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P</ns1:t>
        </ns1:r>
        <ns1:r>
          <w:rPr>
            <w:rFonts w:ascii="Times New Roman" w:hAnsi="Times New Roman" w:eastAsia="Times New Roman" w:cs="Times New Roman"/>
            <w:highlight w:val="yellow"/>
          </w:rPr>
          <ns1:t>L</ns1:t>
        </ns1:r>
        <ns1:r>
          <w:rPr>
            <w:rFonts w:ascii="Times New Roman" w:hAnsi="Times New Roman" w:eastAsia="Times New Roman" w:cs="Times New Roman"/>
            <w:highlight w:val="yellow"/>
          </w:rPr>
          <ns1:t>O</ns1:t>
        </ns1:r>
      </ns1: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p</ns1:t>
            </ns1:r>
          </ns1:e>
          <ns1:sub>
            <ns1:r>
              <ns1:rPr>
                <ns1:sty ns1:val="p"/>
              </ns1:rP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i</ns1:t>
            </ns1:r>
            <ns1:r>
              <ns1:rPr>
                <ns1:sty ns1:val="p"/>
              </ns1:rPr>
              <w:rPr>
                <w:rFonts w:ascii="Times New Roman" w:hAnsi="Times New Roman" w:eastAsia="Times New Roman" w:cs="Times New Roman"/>
                <w:highlight w:val="yellow"/>
              </w:rPr>
              <ns1:t>n</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h</ns1:t>
            </ns1:r>
            <ns1:r>
              <ns1:rPr>
                <ns1:sty ns1:val="p"/>
              </ns1:rPr>
              <w:rPr>
                <w:rFonts w:ascii="Times New Roman" w:hAnsi="Times New Roman" w:eastAsia="Times New Roman" w:cs="Times New Roman"/>
                <w:highlight w:val="yellow"/>
              </w:rPr>
              <ns1:t>i</ns1:t>
            </ns1:r>
          </ns1:sub>
        </ns1:sSub>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ns1:oMath>
        <ns1:r>
          <w:rPr>
            <w:rFonts w:ascii="Times New Roman" w:hAnsi="Times New Roman" w:eastAsia="Times New Roman" w:cs="Times New Roman"/>
            <w:highlight w:val="yellow"/>
          </w:rPr>
          <ns1:t>P</ns1:t>
        </ns1:r>
        <ns1:r>
          <w:rPr>
            <w:rFonts w:ascii="Times New Roman" w:hAnsi="Times New Roman" w:eastAsia="Times New Roman" w:cs="Times New Roman"/>
            <w:highlight w:val="yellow"/>
          </w:rPr>
          <ns1:t>S</ns1:t>
        </ns1:r>
        <ns1:r>
          <w:rPr>
            <w:rFonts w:ascii="Times New Roman" w:hAnsi="Times New Roman" w:eastAsia="Times New Roman" w:cs="Times New Roman"/>
            <w:highlight w:val="yellow"/>
          </w:rPr>
          <ns1:t>T</ns1:t>
        </ns1:r>
        <ns1:r>
          <ns1:rPr>
            <ns1:sty ns1:val="p"/>
          </ns1:rPr>
          <w:rPr>
            <w:rFonts w:ascii="Times New Roman" w:hAnsi="Times New Roman" w:eastAsia="Times New Roman" w:cs="Times New Roman"/>
            <w:highlight w:val="yellow"/>
          </w:rPr>
          <ns1:t>_</ns1:t>
        </ns1:r>
        <ns1:r>
          <w:rPr>
            <w:rFonts w:ascii="Times New Roman" w:hAnsi="Times New Roman" w:eastAsia="Times New Roman" w:cs="Times New Roman"/>
            <w:highlight w:val="yellow"/>
          </w:rPr>
          <ns1:t>H</ns1:t>
        </ns1:r>
        <ns1:r>
          <w:rPr>
            <w:rFonts w:ascii="Times New Roman" w:hAnsi="Times New Roman" w:eastAsia="Times New Roman" w:cs="Times New Roman"/>
            <w:highlight w:val="yellow"/>
          </w:rPr>
          <ns1:t>I</ns1:t>
        </ns1:r>
        <ns1:r>
          <ns1:rPr>
            <ns1:sty ns1:val="p"/>
          </ns1:rPr>
          <w:rPr>
            <w:rFonts w:ascii="Times New Roman" w:hAnsi="Times New Roman" w:eastAsia="Times New Roman" w:cs="Times New Roman"/>
            <w:highlight w:val="yellow"/>
          </w:rPr>
          <ns1:t>−</ns1:t>
        </ns1:r>
        <ns1:sSub>
          <ns1:e>
            <ns1:r>
              <w:rPr>
                <w:rFonts w:ascii="Times New Roman" w:hAnsi="Times New Roman" w:eastAsia="Times New Roman" w:cs="Times New Roman"/>
                <w:highlight w:val="yellow"/>
              </w:rPr>
              <ns1:t>p</ns1:t>
            </ns1:r>
          </ns1:e>
          <ns1:sub>
            <ns1:r>
              <ns1:rPr>
                <ns1:sty ns1:val="p"/>
              </ns1:rP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i</ns1:t>
            </ns1:r>
            <ns1:r>
              <ns1:rPr>
                <ns1:sty ns1:val="p"/>
              </ns1:rPr>
              <w:rPr>
                <w:rFonts w:ascii="Times New Roman" w:hAnsi="Times New Roman" w:eastAsia="Times New Roman" w:cs="Times New Roman"/>
                <w:highlight w:val="yellow"/>
              </w:rPr>
              <ns1:t>n</ns1:t>
            </ns1:r>
          </ns1:sub>
        </ns1:sSub>
      </ns1: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PST_HI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main-steam-pressure replay bound rather than a separator-pressure limit.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denotes no fallback or saturation event.</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072"/>
        <w:gridCol w:w="1072"/>
        <w:gridCol w:w="1072"/>
        <w:gridCol w:w="1071"/>
        <w:gridCol w:w="1071"/>
        <w:gridCol w:w="1071"/>
        <w:gridCol w:w="1071"/>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Local time</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Load (MW)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ns1:oMath>
              <ns1:sSub>
                <ns1:e>
                  <ns1:r>
                    <w:rPr>
                      <w:rFonts w:ascii="Times New Roman" w:hAnsi="Times New Roman" w:eastAsia="Times New Roman" w:cs="Times New Roman"/>
                      <w:highlight w:val="yellow"/>
                    </w:rPr>
                    <ns1:t>p</ns1:t>
                  </ns1:r>
                </ns1:e>
                <ns1:sub>
                  <ns1:r>
                    <ns1:rPr>
                      <ns1:sty ns1:val="p"/>
                    </ns1:rPr>
                    <w:rPr>
                      <w:rFonts w:ascii="Times New Roman" w:hAnsi="Times New Roman" w:eastAsia="Times New Roman" w:cs="Times New Roman"/>
                      <w:highlight w:val="yellow"/>
                    </w:rPr>
                    <ns1:t>s</ns1:t>
                  </ns1:r>
                  <ns1:r>
                    <ns1:rPr>
                      <ns1:sty ns1:val="p"/>
                    </ns1:rPr>
                    <w:rPr>
                      <w:rFonts w:ascii="Times New Roman" w:hAnsi="Times New Roman" w:eastAsia="Times New Roman" w:cs="Times New Roman"/>
                      <w:highlight w:val="yellow"/>
                    </w:rPr>
                    <ns1:t>e</ns1:t>
                  </ns1:r>
                  <ns1:r>
                    <ns1:rPr>
                      <ns1:sty ns1:val="p"/>
                    </ns1:rPr>
                    <w:rPr>
                      <w:rFonts w:ascii="Times New Roman" w:hAnsi="Times New Roman" w:eastAsia="Times New Roman" w:cs="Times New Roman"/>
                      <w:highlight w:val="yellow"/>
                    </w:rPr>
                    <ns1:t>p</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l</ns1:t>
                  </ns1:r>
                  <ns1:r>
                    <ns1:rPr>
                      <ns1:sty ns1:val="p"/>
                    </ns1:rPr>
                    <w:rPr>
                      <w:rFonts w:ascii="Times New Roman" w:hAnsi="Times New Roman" w:eastAsia="Times New Roman" w:cs="Times New Roman"/>
                      <w:highlight w:val="yellow"/>
                    </w:rPr>
                    <ns1:t>o</ns1:t>
                  </ns1:r>
                </ns1:sub>
              </ns1:sSub>
            </ns1: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ns1:oMath>
              <ns1:sSub>
                <ns1:e>
                  <ns1:r>
                    <w:rPr>
                      <w:rFonts w:ascii="Times New Roman" w:hAnsi="Times New Roman" w:eastAsia="Times New Roman" w:cs="Times New Roman"/>
                      <w:highlight w:val="yellow"/>
                    </w:rPr>
                    <ns1:t>p</ns1:t>
                  </ns1:r>
                </ns1:e>
                <ns1:sub>
                  <ns1:r>
                    <ns1:rPr>
                      <ns1:sty ns1:val="p"/>
                    </ns1:rPr>
                    <w:rPr>
                      <w:rFonts w:ascii="Times New Roman" w:hAnsi="Times New Roman" w:eastAsia="Times New Roman" w:cs="Times New Roman"/>
                      <w:highlight w:val="yellow"/>
                    </w:rPr>
                    <ns1:t>m</ns1:t>
                  </ns1:r>
                  <ns1:r>
                    <ns1:rPr>
                      <ns1:sty ns1:val="p"/>
                    </ns1:rPr>
                    <w:rPr>
                      <w:rFonts w:ascii="Times New Roman" w:hAnsi="Times New Roman" w:eastAsia="Times New Roman" w:cs="Times New Roman"/>
                      <w:highlight w:val="yellow"/>
                    </w:rPr>
                    <ns1:t>a</ns1:t>
                  </ns1:r>
                  <ns1:r>
                    <ns1:rPr>
                      <ns1:sty ns1:val="p"/>
                    </ns1:rPr>
                    <w:rPr>
                      <w:rFonts w:ascii="Times New Roman" w:hAnsi="Times New Roman" w:eastAsia="Times New Roman" w:cs="Times New Roman"/>
                      <w:highlight w:val="yellow"/>
                    </w:rPr>
                    <ns1:t>i</ns1:t>
                  </ns1:r>
                  <ns1:r>
                    <ns1:rPr>
                      <ns1:sty ns1:val="p"/>
                    </ns1:rPr>
                    <w:rPr>
                      <w:rFonts w:ascii="Times New Roman" w:hAnsi="Times New Roman" w:eastAsia="Times New Roman" w:cs="Times New Roman"/>
                      <w:highlight w:val="yellow"/>
                    </w:rPr>
                    <ns1:t>n</ns1:t>
                  </ns1:r>
                  <ns1:r>
                    <ns1:rPr>
                      <ns1:sty ns1:val="p"/>
                    </ns1:rPr>
                    <w:rPr>
                      <w:rFonts w:ascii="Times New Roman" w:hAnsi="Times New Roman" w:eastAsia="Times New Roman" w:cs="Times New Roman"/>
                      <w:highlight w:val="yellow"/>
                    </w:rPr>
                    <ns1:t>,</ns1:t>
                  </ns1:r>
                  <ns1:r>
                    <ns1:rPr>
                      <ns1:sty ns1:val="p"/>
                    </ns1:rPr>
                    <w:rPr>
                      <w:rFonts w:ascii="Times New Roman" w:hAnsi="Times New Roman" w:eastAsia="Times New Roman" w:cs="Times New Roman"/>
                      <w:highlight w:val="yellow"/>
                    </w:rPr>
                    <ns1:t>h</ns1:t>
                  </ns1:r>
                  <ns1:r>
                    <ns1:rPr>
                      <ns1:sty ns1:val="p"/>
                    </ns1:rPr>
                    <w:rPr>
                      <w:rFonts w:ascii="Times New Roman" w:hAnsi="Times New Roman" w:eastAsia="Times New Roman" w:cs="Times New Roman"/>
                      <w:highlight w:val="yellow"/>
                    </w:rPr>
                    <ns1:t>i</ns1:t>
                  </ns1:r>
                </ns1:sub>
              </ns1:sSub>
            </ns1: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ns1:oMath>
              <ns1:r>
                <w:rPr>
                  <w:rFonts w:ascii="Times New Roman" w:hAnsi="Times New Roman" w:eastAsia="Times New Roman" w:cs="Times New Roman"/>
                  <w:highlight w:val="yellow"/>
                </w:rPr>
                <ns1:t>h</ns1:t>
              </ns1:r>
            </ns1: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margin (kJ/kg)</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QP/recovery status</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MW04</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29 Jun 2026 19:00–20:59:55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563.0–621.2</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2.217</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2.173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62.284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1397 optimal; 43 recovered; 1 fuel-sat.</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30 Jun 2026 14:00–15:59:55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547.9–629.7</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3.438</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1.483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20.354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1440 optimal; none</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MW06</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26 Jun 2026 23:00–00:59:55</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480.7–619.3</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2.705</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0.463</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0.359</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1440 optimal; none</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4.062 / 26.159</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highlight w:val="yellow"/>
        </w:rPr>
        <w:t>4.6 Stage-Gated Commissioning Protocol</w:t>
      </w:r>
    </w:p>
    <w:p>
      <w:pPr>
        <w:pStyle w:val="11"/>
        <w:jc w:val="left"/>
        <w:ind w:firstLine="420"/>
      </w:pPr>
      <w:r>
        <w:rPr>
          <w:rFonts w:ascii="Times New Roman" w:hAnsi="Times New Roman" w:eastAsia="Times New Roman" w:cs="Times New Roman"/>
          <w:sz w:val="20"/>
          <w:szCs w:val="20"/>
          <w:highlight w:val="yellow"/>
        </w:rPr>
        <w:t xml:space="preserve">RoCBF-SF is intended as 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commissioning-calibrated safety filter</w:t>
      </w:r>
      <w:r>
        <w:rPr>
          <w:rFonts w:ascii="Times New Roman" w:hAnsi="Times New Roman" w:eastAsia="Times New Roman" w:cs="Times New Roman"/>
          <w:sz w:val="20"/>
          <w:szCs w:val="20"/>
          <w:highlight w:val="yellow"/>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highlight w:val="yellow"/>
        </w:rPr>
        <w:t xml:space="preserve">Table 5. </w:t>
      </w:r>
      <w:r>
        <w:rPr>
          <w:rFonts w:ascii="Times New Roman" w:hAnsi="Times New Roman" w:eastAsia="Times New Roman" w:cs="Times New Roman"/>
          <w:sz w:val="20"/>
          <w:szCs w:val="20"/>
          <w:highlight w:val="yellow"/>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Gate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Minimum evidence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Decision rule</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Residual and margin calibration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Pre-enable validation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Time-isolated replay, protection-limit review, alarm/fallback tests, and coverage across the five fixed load strata</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Enable online authority only after GP, QP, fallback, and alarm logic pass supervised tests.</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Execution logging</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fallback, saturation, and solve time</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Treat historian traces as plant-response diagnostics; use controller logs such as Fig. </w:t>
            </w:r>
            <w:r>
              <w:rPr>
                <w:rFonts w:ascii="Times New Roman" w:hAnsi="Times New Roman" w:eastAsia="Times New Roman" w:cs="Times New Roman"/>
                <w:sz w:val="18"/>
                <w:szCs w:val="18"/>
                <w:highlight w:val="yellow"/>
              </w:rPr>
              <w:t xml:space="preserve">8</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support safety-filter execution.</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and boundary monitoring</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highlight w:val="yellow"/>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0.1</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highlight w:val="yellow"/>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highlight w:val="yellow"/>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highlight w:val="yellow"/>
        </w:rPr>
        <w:t xml:space="preserve">The certificate-aligned</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 separates the contributions of barrier structure, residual learning, and margin selection. Correct-relative-degree HOCBF removes nominal violations but leaves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mismatch-sample violations without a GP. Mean correction reduces that count to 36, and the independently selected</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0.02</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gives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in the primary sweep. On held-out seeds, the fixed setting gives 66/50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72/50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 rejections. Conversely, the full-margin endpoint can lose feasibility under actuator limits. The practical setting is therefore a finite-sample commissioning point, whereas the formal forward-invariance certificate remains attached only to</w:t>
      </w:r>
      <w:r>
        <w:rPr>
          <w:rFonts w:ascii="Times New Roman" w:hAnsi="Times New Roman" w:eastAsia="Times New Roman" w:cs="Times New Roman"/>
          <w:sz w:val="20"/>
          <w:szCs w:val="20"/>
          <w:highlight w:val="yellow"/>
        </w:rPr>
        <w:t xml:space="preserve"> </w:t>
      </w:r>
      <ns1:oMath>
        <ns1:sSub>
          <ns1:e>
            <ns1:r>
              <w:rPr>
                <w:rFonts w:ascii="Times New Roman" w:hAnsi="Times New Roman" w:eastAsia="Times New Roman" w:cs="Times New Roman"/>
                <w:highlight w:val="yellow"/>
              </w:rPr>
              <ns1:t>ϵ</ns1:t>
            </ns1:r>
          </ns1:e>
          <ns1:sub>
            <ns1:r>
              <w:rPr>
                <w:rFonts w:ascii="Times New Roman" w:hAnsi="Times New Roman" w:eastAsia="Times New Roman" w:cs="Times New Roman"/>
                <w:highlight w:val="yellow"/>
              </w:rPr>
              <ns1:t>κ</ns1:t>
            </ns1:r>
          </ns1:sub>
        </ns1:sSub>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1</ns1:t>
        </ns1:r>
      </ns1:oMath>
      <w:r>
        <w:rPr>
          <w:rFonts w:ascii="Times New Roman" w:hAnsi="Times New Roman" w:eastAsia="Times New Roman" w:cs="Times New Roman"/>
          <w:sz w:val="20"/>
          <w:szCs w:val="20"/>
          <w:highlight w:val="yellow"/>
        </w:rPr>
        <w:t xml:space="preserve">, the GP-UCB event, the compositional residual bound,</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and full-row robust-QP feasibility.</w:t>
      </w:r>
    </w:p>
    <w:p>
      <w:pPr>
        <w:pStyle w:val="3"/>
        <w:jc w:val="left"/>
        <w:ind w:firstLine="420"/>
      </w:pPr>
      <w:r>
        <w:rPr>
          <w:rFonts w:ascii="Times New Roman" w:hAnsi="Times New Roman" w:eastAsia="Times New Roman" w:cs="Times New Roman"/>
          <w:sz w:val="20"/>
          <w:szCs w:val="20"/>
          <w:highlight w:val="yellow"/>
        </w:rPr>
        <w:t xml:space="preserve">Plant historian and controller records provide complementary measured-operation evidence. The matched-window cohort and representative 5 s pair associate the retrofit with lower pressure-error dispersion under comparable load movement, while the concurrent outage maintenance prevents attributing the entire change to the safety filter alone. Low-to-mid-load historian windows establish operating context, and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deliberately excluded from the full-row certificate claim.</w:t>
      </w:r>
    </w:p>
    <w:p>
      <w:pPr>
        <w:pStyle w:val="3"/>
        <w:jc w:val="left"/>
        <w:ind w:firstLine="420"/>
      </w:pPr>
      <w:r>
        <w:rPr>
          <w:rFonts w:ascii="Times New Roman" w:hAnsi="Times New Roman" w:eastAsia="Times New Roman" w:cs="Times New Roman"/>
          <w:sz w:val="20"/>
          <w:szCs w:val="20"/>
          <w:highlight w:val="yellow"/>
        </w:rPr>
        <w:t xml:space="preserve">Future work should extend time-separated commissioning coverage, evaluate actuator-gain uncertainty beyond the current</w:t>
      </w:r>
      <w:r>
        <w:rPr>
          <w:rFonts w:ascii="Times New Roman" w:hAnsi="Times New Roman" w:eastAsia="Times New Roman" w:cs="Times New Roman"/>
          <w:sz w:val="20"/>
          <w:szCs w:val="20"/>
          <w:highlight w:val="yellow"/>
        </w:rPr>
        <w:t xml:space="preserve"> </w:t>
      </w:r>
      <ns1:oMath>
        <ns1:r>
          <ns1:rPr>
            <ns1:sty ns1:val="p"/>
          </ns1:rPr>
          <w:rPr>
            <w:rFonts w:ascii="Times New Roman" w:hAnsi="Times New Roman" w:eastAsia="Times New Roman" w:cs="Times New Roman"/>
            <w:highlight w:val="yellow"/>
          </w:rPr>
          <ns1:t>Δ</ns1:t>
        </ns1:r>
        <ns1:r>
          <w:rPr>
            <w:rFonts w:ascii="Times New Roman" w:hAnsi="Times New Roman" w:eastAsia="Times New Roman" w:cs="Times New Roman"/>
            <w:highlight w:val="yellow"/>
          </w:rPr>
          <ns1:t>g</ns1:t>
        </ns1:r>
        <ns1:r>
          <ns1:rPr>
            <ns1:sty ns1:val="p"/>
          </ns1:rPr>
          <w:rPr>
            <w:rFonts w:ascii="Times New Roman" w:hAnsi="Times New Roman" w:eastAsia="Times New Roman" w:cs="Times New Roman"/>
            <w:highlight w:val="yellow"/>
          </w:rPr>
          <ns1:t>=</ns1:t>
        </ns1:r>
        <ns1:r>
          <w:rPr>
            <w:rFonts w:ascii="Times New Roman" w:hAnsi="Times New Roman" w:eastAsia="Times New Roman" w:cs="Times New Roman"/>
            <w:highlight w:val="yellow"/>
          </w:rPr>
          <ns1:t>0</ns1:t>
        </ns1:r>
      </ns1: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Wu L, Huang L, Wang Y, et al.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Feng YW, Li YH.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Ames AD, Coogan S, Egerstedt M, et al.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Xiao W, Belta C, Cassandras CG.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Rasmussen CE, Williams CKI. Gaussian processes for machine learning. MIT Press; 2006.</w:t>
      </w:r>
    </w:p>
    <w:p>
      <w:pPr>
        <w:pStyle w:val="18"/>
        <w:jc w:val="left"/>
        <w:ind w:left="360" w:hanging="360"/>
      </w:pPr>
      <w:r>
        <w:rPr>
          <w:rFonts w:ascii="Times New Roman" w:hAnsi="Times New Roman" w:eastAsia="Times New Roman" w:cs="Times New Roman"/>
          <w:sz w:val="20"/>
          <w:szCs w:val="20"/>
        </w:rPr>
        <w:t>[6] Srinivas N, Krause A, Kakade SM, et al.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Cheng R, Orosz G, Murray RM, et al.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Fisac JF, Akametalu AK, Zeilinger MN, et al.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Castañeda F, Choi JJ, Zhang B, et al.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Aali M, Liu J.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Zhang Y, Wen L, Bing Z, et al.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Åström KJ, Bell RD.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Li SY, Liu HB, Cai WJ, et al.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Tan W, Liu JZ, Fang F.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Liu X, Guan P, Chan CW.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Abdelbaky MA, Liu X, Kong X.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Liu JZ, Zeng DL, Tian L, et al.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Qin SJ, Badgwell TA.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Mayne DQ, Rawlings JB, Rao CV, et al.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Morari M, Lee JH.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Mayne DQ, Seron MM, Raković SV.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Mesbah A.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Hewing L, Kabzan J, Zeilinger MN.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Wieland P, Allgöwer F.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Jankovic M.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Taylor AJ, Singletary A, Yue Y, et al.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Long Q, Wang YT, Pan J.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Zeng J, Zhang B, Li Z, et al.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Agrawal A, Sreenath K.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Taylor AJ, Dorobantu VD, Cosner RK, et al.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Cosner RK, Yue Y, Ames AD.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Lederer A, Umlauft J, Hirche S.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Alburayt A, Syam WP. Bayesian machine learning for measurement noise estimation of focus variation microscopy instrument. Meas Control. 2026;59(6):857–69. doi:10.1177/00202940251374964</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90" Target="numbering.xml" /><Relationship Type="http://schemas.openxmlformats.org/officeDocument/2006/relationships/styles" Id="rId89" Target="styles.xml" /><Relationship Type="http://schemas.openxmlformats.org/officeDocument/2006/relationships/settings" Id="rId88" Target="settings.xml" /><Relationship Type="http://schemas.openxmlformats.org/officeDocument/2006/relationships/webSettings" Id="rId87" Target="webSettings.xml" /><Relationship Type="http://schemas.openxmlformats.org/officeDocument/2006/relationships/fontTable" Id="rId86" Target="fontTable.xml" /><Relationship Type="http://schemas.openxmlformats.org/officeDocument/2006/relationships/theme" Id="rId85" Target="theme/theme1.xml" /><Relationship Type="http://schemas.openxmlformats.org/officeDocument/2006/relationships/footnotes" Id="rId84" Target="footnotes.xml" /><Relationship Type="http://schemas.openxmlformats.org/officeDocument/2006/relationships/comments" Id="rId83" Target="comments.xml" /><Relationship Type="http://schemas.openxmlformats.org/officeDocument/2006/relationships/image" Id="rId103" Target="media/rId103.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27" Target="media/rId127.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38" Target="media/rId138.png" /><Relationship Type="http://schemas.openxmlformats.org/officeDocument/2006/relationships/image" Id="rId132" Target="media/rId132.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