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32.png" ContentType="image/png"/>
  <ns0:Override PartName="/word/media/rId71.png" ContentType="image/png"/>
  <ns0:Override PartName="/word/media/rId75.png" ContentType="image/png"/>
  <ns0:Override PartName="/word/media/rId56.png" ContentType="image/png"/>
  <ns0:Override PartName="/word/media/rId48.png" ContentType="image/png"/>
  <ns0:Override PartName="/word/media/rId52.png" ContentType="image/png"/>
  <ns0:Override PartName="/word/media/rId67.png" ContentType="image/png"/>
  <ns0:Override PartName="/word/media/rId61.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rPr>
        <w:t xml:space="preserve">Ultra-supercritical power-unit coordinated control must enforce pressure, separator-enthalpy, and power limits even when changing coal quality, heat absorption, and process dynamics invalidate the nominal model. Under this mismatch, a command accepted by the coordinated controller can still drive constrained variables toward their limits. This paper proposes RoCBF-SF, a commissioning-calibrated Gaussian-process high-order control barrier function (GP-HOCBF) safety filter placed between an existing controller and the actuators. Three GP models correct drift residuals, posterior uncertainty is propagated through the HOCBF chain, and a one-step quadratic program projects each proposed command. In a seven-state, actuator-augmented benchmark with</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HOCBF without GP correction records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violating samples among 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samples from six mismatch scenarios. The predeclared tune/test rule selects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the resulting GP-mean filter and an NMPC reference each record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in the primary sweep, and the fixed filter setting records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 rejections on held-out seeds. By contrast, the implemented full-margin endpoint rejects 149</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800/150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mismatch-scenario QPs under the tested actuator limits. Plant evidence from a 660 MW ultra-supercritical unit provides a separate operating-context cohort, a native-5 s matched response pair, and 4320 confirmed high-load controller-export records. In the matched pair, pressure-error standard deviation decreases from 0.375 to 0.156 MPa. The controller exports cover 480.7–629.7 MW: two windows retain full-QP operation, one records 43 guarded reduced-QP recoveries, and the maximum total task time is 28.665 ms against a 1000 ms deadline. These results support a deployable safety-filter workflow while distinguishing finite-sample calibration, observational plant response, controller execution, and the conditions required for a formal certificate.</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Relative degree must be defined with respect to the controller command rather than an unmeasured actuator state. After the fuel, feedwater, and turbine-valve dynamics are included, each pressure, separator-enthalpy, and power limit used here has command-level relative degree two.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therefore needed to preserve the constraint dynamics. A first-order CBF baseline would incorrectly assume that the commanded input appears in the first barrier derivative; that structural error is distinct from the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rPr>
        <w:t xml:space="preserve">For boiler-turbine control, the difficulty is structural. The selected pressure, separator-enthalpy, and power limits are command-level relative-degree-two constraints, and residual uncertainty propagates through the HOCBF recursion rather than appearing only at the final constraint row. Applying the full implemented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command-level relative-degree-two pressure, separator-enthalpy, and power constraints obtained from an actuator-augmented process model.</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rPr>
        <w:t xml:space="preserve">Commissioning-calibrated robustness factor.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scalar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interpolates between mean-corrected operation and the full implemented uncertainty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rPr>
        <w:t xml:space="preserve">Simulation validation and measured-operation evidence.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evaluated on an actuator-augmented boiler-turbine benchmark, while bounded production historian records and controller-log exports from a 660 MW ultra-supercritical unit provide response, execution, feasibility, and latency evidence under measured operation.</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They are necessary here because actuator dynamics delay the effect of each controller command, making the selected pressure, enthalpy, and power barriers relative degree two at the command interface.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rPr>
        <w:t>29</w:t>
      </w:r>
      <w:r>
        <w:rPr>
          <w:rFonts w:ascii="Times New Roman" w:hAnsi="Times New Roman" w:eastAsia="Times New Roman" w:cs="Times New Roman"/>
          <w:sz w:val="20"/>
          <w:szCs w:val="20"/>
        </w:rPr>
        <w:t>, sampled-data CBFs address the gap between continuous-time design and discrete-time implementation</w:t>
      </w:r>
      <w:r>
        <w:rPr>
          <w:rFonts w:ascii="Times New Roman" w:hAnsi="Times New Roman" w:eastAsia="Times New Roman" w:cs="Times New Roman"/>
          <w:sz w:val="20"/>
          <w:szCs w:val="20"/>
          <w:vertAlign w:val="superscript"/>
        </w:rPr>
        <w:t>30</w:t>
      </w:r>
      <w:r>
        <w:rPr>
          <w:rFonts w:ascii="Times New Roman" w:hAnsi="Times New Roman" w:eastAsia="Times New Roman" w:cs="Times New Roman"/>
          <w:sz w:val="20"/>
          <w:szCs w:val="20"/>
        </w:rPr>
        <w:t>, and recent stochastic discrete-time CBF work studies robustness under uncertainty</w:t>
      </w:r>
      <w:r>
        <w:rPr>
          <w:rFonts w:ascii="Times New Roman" w:hAnsi="Times New Roman" w:eastAsia="Times New Roman" w:cs="Times New Roman"/>
          <w:sz w:val="20"/>
          <w:szCs w:val="20"/>
          <w:vertAlign w:val="superscript"/>
        </w:rPr>
        <w:t>31</w:t>
      </w:r>
      <w:r>
        <w:rPr>
          <w:rFonts w:ascii="Times New Roman" w:hAnsi="Times New Roman" w:eastAsia="Times New Roman" w:cs="Times New Roman"/>
          <w:sz w:val="20"/>
          <w:szCs w:val="20"/>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command-level relative-degree-two boiler–turbine constraints, DCS deployment,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rPr>
        <w:t xml:space="preserve">Online operation has three steps: evaluate the GP residual model, build the command-level relative-degree-two HOCBF rows,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The normalized deviation command satisfies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20"/>
          <w:szCs w:val="20"/>
        </w:rPr>
        <w:t xml:space="preserve">. With the physical per-cycle command scales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coal-feed, feedwater-flow, and turbine-valve commands. The HOCBF and QP are formulated in normalized deviation coordinates. Let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exp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The sample-matched affine surrogate used to build the benchmark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ξ</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s</ns1:t>
                    </ns1:r>
                  </ns1:sub>
                </ns1:sSub>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ξ</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rPr>
        <w:t xml:space="preserve">Its forward-Euler update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ξ</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which is the controller-instant transition used in the numerical rollouts. This construction preserves the continuous command-level relative degree induced by the actuator states. It is a benchmark surrogate rather than a sampled-data safety certificate.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lists the measurement, constraint, GP, QP, fallback, and runtime settings used in the benchmark and plant implementation.</w:t>
      </w:r>
    </w:p>
    <w:p>
      <w:pPr>
        <w:jc w:val="left"/>
        <w:spacing w:before="80" w:after="120"/>
        <w:keepLines/>
      </w:pPr>
      <w:r>
        <w:rPr>
          <w:rFonts w:ascii="Times New Roman" w:hAnsi="Times New Roman" w:eastAsia="Times New Roman" w:cs="Times New Roman"/>
          <w:sz w:val="20"/>
          <w:szCs w:val="20"/>
          <w:b/>
          <w:bCs/>
        </w:rPr>
        <w:t xml:space="preserve">Table 1. </w:t>
      </w:r>
      <w:r>
        <w:rPr>
          <w:rFonts w:ascii="Times New Roman" w:hAnsi="Times New Roman" w:eastAsia="Times New Roman" w:cs="Times New Roman"/>
          <w:sz w:val="20"/>
          <w:szCs w:val="20"/>
        </w:rPr>
        <w:t xml:space="preserve">Variables and implementation settings used by the RoCBF-SF safety filter in the actuator-augmented CCS benchmark and plant implementation.</w:t>
      </w:r>
    </w:p>
    <w:tbl>
      <w:tblPr>
        <w:tblStyle w:val="Table"/>
        <w:tblW w:type="dxa" w:w="8500"/>
        <w:tblLook w:firstRow="1" w:lastRow="0" w:firstColumn="0" w:lastColumn="0" w:noHBand="0" w:noVBand="0" w:val="0020"/>
        <w:tblCaption w:val="Table 1. Variables and implementation settings used by the RoCBF-SF safety filter in the actuator-augmented CCS benchmark and plant implementati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cantSplit/>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state</w:t>
            </w:r>
          </w:p>
        </w:tc>
        <w:tc>
          <w:tcPr>
            <w:tcW w:w="2200" w:type="dxa"/>
            <w:tcBorders>
              <w:top w:val="nil"/>
              <w:bottom w:val="nil"/>
              <w:left w:val="nil"/>
              <w:right w:val="nil"/>
              <w:insideH w:val="nil"/>
              <w:insideV w:val="nil"/>
            </w:tcBorders>
          </w:tcPr>
          <w:p>
            <w:pPr>
              <w:pStyle w:val="13"/>
              <w:jc w:val="left"/>
            </w:pP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Five process states from the reference model plus measured feedwater and valve actuator states.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input/output</w:t>
            </w:r>
          </w:p>
        </w:tc>
        <w:tc>
          <w:tcPr>
            <w:tcW w:w="2200" w:type="dxa"/>
            <w:tcBorders>
              <w:top w:val="nil"/>
              <w:bottom w:val="nil"/>
              <w:left w:val="nil"/>
              <w:right w:val="nil"/>
              <w:insideH w:val="nil"/>
              <w:insideV w:val="nil"/>
            </w:tcBorders>
          </w:tcPr>
          <w:p>
            <w:pPr>
              <w:pStyle w:val="13"/>
              <w:jc w:val="left"/>
            </w:p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Constrained outputs used by the residual GPs; all seven states and three proposed commands remain inputs to the nominal one-step predictor.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Physical commands are reconstructed from normalized</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18"/>
                <w:szCs w:val="18"/>
              </w:rPr>
              <w:t xml:space="preserv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Main-steam pressure limit</w:t>
            </w:r>
          </w:p>
        </w:tc>
        <w:tc>
          <w:tcPr>
            <w:tcW w:w="2200" w:type="dxa"/>
            <w:tcBorders>
              <w:top w:val="nil"/>
              <w:bottom w:val="nil"/>
              <w:left w:val="nil"/>
              <w:right w:val="nil"/>
              <w:insideH w:val="nil"/>
              <w:insideV w:val="nil"/>
            </w:tcBorders>
          </w:tcPr>
          <w:p>
            <w:pPr>
              <w:pStyle w:val="13"/>
              <w:jc w:val="left"/>
            </w:pP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13</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24</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18"/>
                <w:szCs w:val="18"/>
              </w:rPr>
              <w:t xml:space="preserve"> MPa;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18"/>
                <w:szCs w:val="18"/>
              </w:rPr>
              <w:t xml:space="preserve">-levels.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Enthalpy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Actuator-augmented heat-absorption safety constraint.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Power tracking band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Actuator-augmented generator-output constraint around the dispatch target.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18"/>
                <w:szCs w:val="18"/>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 QP solved once per controller cycle; plant-validation exports use 5 s record spacing.</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Three 500-point Matérn-5 of 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Learns pressure, enthalpy, and power residual-rate means and posterior uncertainties; 200 time-isolated points are retained for validation.</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qpax, row scaling, box/rate constraints,</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Projects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the nearest admissible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rejects non-converged or infeasible candidates.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One guarded</w:t>
            </w:r>
            <w:r>
              <w:rPr>
                <w:rFonts w:ascii="Times New Roman" w:hAnsi="Times New Roman" w:eastAsia="Times New Roman" w:cs="Times New Roman"/>
                <w:sz w:val="18"/>
                <w:szCs w:val="18"/>
              </w:rPr>
              <w:t xml:space="preserve"> </w:t>
            </w:r>
            <w:r>
              <w:rPr>
                <w:rFonts w:ascii="Times New Roman" w:hAnsi="Times New Roman" w:eastAsia="Times New Roman" w:cs="Times New Roman"/>
                <w:rStyle w:val="VerbatimChar"/>
                <w:sz w:val="18"/>
                <w:szCs w:val="18"/>
              </w:rPr>
              <w:t xml:space="preserve">pressure_low</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The guarded retry is outside the full-row certificate; actuator rows are never removed.</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Field exports report QP and total-task timing against the deployed deadline.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AMD EPYC Embedded 4565P; 64 GB (2</w:t>
            </w:r>
            <w:r>
              <w:rPr>
                <w:rFonts w:ascii="Times New Roman" w:hAnsi="Times New Roman" w:eastAsia="Times New Roman" w:cs="Times New Roman"/>
                <w:sz w:val="18"/>
                <w:szCs w:val="18"/>
              </w:rPr>
              <w:t>×</w:t>
            </w:r>
            <w:r>
              <w:rPr>
                <w:rFonts w:ascii="Times New Roman" w:hAnsi="Times New Roman" w:eastAsia="Times New Roman" w:cs="Times New Roman"/>
                <w:sz w:val="18"/>
                <w:szCs w:val="18"/>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Deployed controller compute platform; data exchange with the DCS uses Modbus TCP.</w:t>
            </w:r>
          </w:p>
        </w:tc>
      </w:tr>
      <w:tr>
        <w:trPr>
          <w:cantSplit/>
        </w:trP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Build the mean-corrected command-level relative-degree-two HOCBF constraints.</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arg min</ns1:t>
                    </ns1:r>
                  </ns1:e>
                  <ns1:sub>
                    <ns1: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bSup>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up>
                    <ns1:r>
                      <w:rPr>
                        <w:rFonts w:ascii="Times New Roman" w:hAnsi="Times New Roman" w:eastAsia="Times New Roman" w:cs="Times New Roman"/>
                      </w:rPr>
                      <ns1:t>2</ns1:t>
                    </ns1:r>
                  </ns1:sup>
                </ns1:sSubSup>
                <ns1:r>
                  <w:rPr>
                    <w:rFonts w:ascii="Times New Roman" w:hAnsi="Times New Roman" w:eastAsia="Times New Roman" w:cs="Times New Roman"/>
                  </w:rPr>
                  <ns1:t> </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rPr>
        <w:t xml:space="preserve">Notation summary.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benchmark state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state. The physical command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while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normalized command deviation optimized by the safety filter. The upstream controller proposes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the QP returns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and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maps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back to the physical command. The GP-mean-corrected HOCBF rows are written 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reserved for the no-GP nominal-model ablation. The term</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compositional GP-HOCBF margin,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commissioning factor multiplying that margin.</w:t>
      </w:r>
    </w:p>
    <w:p>
      <w:pPr>
        <w:pStyle w:val="3"/>
        <w:jc w:val="left"/>
        <w:ind w:firstLine="420"/>
      </w:pPr>
      <w:r>
        <w:rPr>
          <w:rFonts w:ascii="Times New Roman" w:hAnsi="Times New Roman" w:eastAsia="Times New Roman" w:cs="Times New Roman"/>
          <w:sz w:val="20"/>
          <w:szCs w:val="20"/>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(4)</w:t>
            </w:r>
          </w:p>
        </w:tc>
      </w:tr>
    </w:tbl>
    <w:p>
      <w:pPr>
        <w:pStyle w:val="11"/>
        <w:jc w:val="left"/>
        <w:ind w:firstLine="420"/>
      </w:pPr>
      <w:r>
        <w:rPr>
          <w:rFonts w:ascii="Times New Roman" w:hAnsi="Times New Roman" w:eastAsia="Times New Roman" w:cs="Times New Roman"/>
          <w:sz w:val="20"/>
          <w:szCs w:val="20"/>
        </w:rPr>
        <w:t xml:space="preserve">Three independent GPs model the corresponding one-step nominal-model residual rates. The benchmark target is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ub>
          <ns1:sup>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full nominal predictor uses all seven states and all three command deviations;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rPr>
        <w:t xml:space="preserve">Operating-point interpretation.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denotes the complete safety-filter design in Fig.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mean correction alone,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full implemented margin, and Section </w:t>
      </w:r>
      <w:r>
        <w:rPr>
          <w:rFonts w:ascii="Times New Roman" w:hAnsi="Times New Roman" w:eastAsia="Times New Roman" w:cs="Times New Roman"/>
          <w:sz w:val="20"/>
          <w:szCs w:val="20"/>
        </w:rPr>
        <w:t xml:space="preserve">4.3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x</ns1:t>
                    </ns1:r>
                  </ns1:e>
                </ns1:acc>
                <ns1:r>
                  <ns1:rPr>
                    <ns1:sty ns1:val="p"/>
                  </ns1:rPr>
                  <w:rPr>
                    <w:rFonts w:ascii="Times New Roman" w:hAnsi="Times New Roman" w:eastAsia="Times New Roman" w:cs="Times New Roman"/>
                  </w:rPr>
                  <ns1:t>=</ns1:t>
                </ns1:r>
                <ns1:limLow>
                  <ns1:e>
                    <ns1:limLow>
                      <ns1:e>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nominal</ns1:t>
                    </ns1:r>
                  </ns1:lim>
                </ns1:limLow>
                <ns1:r>
                  <ns1:rPr>
                    <ns1:sty ns1:val="p"/>
                  </ns1:rPr>
                  <w:rPr>
                    <w:rFonts w:ascii="Times New Roman" w:hAnsi="Times New Roman" w:eastAsia="Times New Roman" w:cs="Times New Roman"/>
                  </w:rPr>
                  <ns1:t>+</ns1:t>
                </ns1:r>
                <ns1:limLow>
                  <ns1:e>
                    <ns1:limLow>
                      <ns1:e>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residual</ns1:t>
                    </ns1:r>
                  </ns1:lim>
                </ns1:limLow>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n</ns1:t>
                    </ns1:r>
                  </ns1:sup>
                </ns1:sSup>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m</ns1:t>
                    </ns1:r>
                  </ns1:sup>
                </ns1:sSup>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rPr>
        <w:t xml:space="preserve">The benchmark pressure output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0.13</ns1:t>
        </ns1:r>
        <ns1:sSubSup>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up>
            <ns1:r>
              <w:rPr>
                <w:rFonts w:ascii="Times New Roman" w:hAnsi="Times New Roman" w:eastAsia="Times New Roman" w:cs="Times New Roman"/>
              </w:rPr>
              <ns1:t>0.882</ns1:t>
            </ns1:r>
          </ns1:sup>
        </ns1:sSubSup>
      </ns1:oMath>
      <w:r>
        <w:rPr>
          <w:rFonts w:ascii="Times New Roman" w:hAnsi="Times New Roman" w:eastAsia="Times New Roman" w:cs="Times New Roman"/>
          <w:sz w:val="20"/>
          <w:szCs w:val="20"/>
        </w:rPr>
        <w:t xml:space="preserve">. The six scalar safety barriers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13</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24</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2670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2830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(6)</w:t>
            </w:r>
          </w:p>
        </w:tc>
      </w:tr>
    </w:tbl>
    <w:p>
      <w:pPr>
        <w:pStyle w:val="11"/>
        <w:jc w:val="left"/>
        <w:ind w:firstLine="420"/>
      </w:pPr>
      <w:r>
        <w:rPr>
          <w:rFonts w:ascii="Times New Roman" w:hAnsi="Times New Roman" w:eastAsia="Times New Roman" w:cs="Times New Roman"/>
          <w:sz w:val="20"/>
          <w:szCs w:val="20"/>
        </w:rPr>
        <w:t xml:space="preserve">The five process states of the reference model are augmented with first-order feedwater and turbine-valve states, identified as 15 and 6 s from two unsaturated controller-export windows; the existing 30 s fuel-transport state is retained. With controller commands as inputs, all six barriers have relative degree two. This removes the direct-command artifact that would otherwise make separator enthalpy and power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ψ</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m</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(7)</w:t>
            </w:r>
          </w:p>
        </w:tc>
      </w:tr>
    </w:tbl>
    <w:p>
      <w:pPr>
        <w:pStyle w:val="11"/>
        <w:jc w:val="left"/>
        <w:ind w:firstLine="420"/>
      </w:pPr>
      <w:r>
        <w:rPr>
          <w:rFonts w:ascii="Times New Roman" w:hAnsi="Times New Roman" w:eastAsia="Times New Roman" w:cs="Times New Roman"/>
          <w:sz w:val="20"/>
          <w:szCs w:val="20"/>
        </w:rPr>
        <w:t xml:space="preserve">For the six barriers indexed by</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c</ns1:t>
        </ns1:r>
      </ns1:oMath>
      <w:r>
        <w:rPr>
          <w:rFonts w:ascii="Times New Roman" w:hAnsi="Times New Roman" w:eastAsia="Times New Roman" w:cs="Times New Roman"/>
          <w:sz w:val="20"/>
          <w:szCs w:val="20"/>
        </w:rPr>
        <w:t xml:space="preserve">, with relative degree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oMath>
      <w:r>
        <w:rPr>
          <w:rFonts w:ascii="Times New Roman" w:hAnsi="Times New Roman" w:eastAsia="Times New Roman" w:cs="Times New Roman"/>
          <w:sz w:val="20"/>
          <w:szCs w:val="20"/>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ns1:rPr>
                        <ns1:scr ns1:val="script"/>
                        <ns1:sty ns1:val="p"/>
                      </ns1:rPr>
                      <w:rPr>
                        <w:rFonts w:ascii="Times New Roman" w:hAnsi="Times New Roman" w:eastAsia="Times New Roman" w:cs="Times New Roman"/>
                      </w:rPr>
                      <ns1:t>C</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ψ</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ns1:rPr>
                    <ns1:scr ns1:val="script"/>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limLow>
                  <ns1:e>
                    <ns1:limUpp>
                      <ns1:e>
                        <ns1:r>
                          <ns1:rPr>
                            <ns1:sty ns1:val="p"/>
                          </ns1:rPr>
                          <w:rPr>
                            <w:rFonts w:ascii="Times New Roman" w:hAnsi="Times New Roman" w:eastAsia="Times New Roman" w:cs="Times New Roman"/>
                          </w:rPr>
                          <ns1:t>⋂</ns1:t>
                        </ns1:r>
                      </ns1:e>
                      <ns1:lim>
                        <ns1:r>
                          <w:rPr>
                            <w:rFonts w:ascii="Times New Roman" w:hAnsi="Times New Roman" w:eastAsia="Times New Roman" w:cs="Times New Roman"/>
                          </w:rPr>
                          <ns1:t>6</ns1:t>
                        </ns1:r>
                      </ns1:lim>
                    </ns1:limUpp>
                  </ns1:e>
                  <ns1:lim>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lim>
                </ns1:limLow>
                <ns1:limLow>
                  <ns1:e>
                    <ns1:limUpp>
                      <ns1:e>
                        <ns1:r>
                          <ns1:rPr>
                            <ns1:sty ns1:val="p"/>
                          </ns1:rPr>
                          <w:rPr>
                            <w:rFonts w:ascii="Times New Roman" w:hAnsi="Times New Roman" w:eastAsia="Times New Roman" w:cs="Times New Roman"/>
                          </w:rPr>
                          <ns1:t>⋂</ns1:t>
                        </ns1:r>
                      </ns1:e>
                      <ns1:lim>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lim>
                    </ns1:limUpp>
                  </ns1:e>
                  <ns1:lim>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lim>
                </ns1:limLow>
                <ns1:sSub>
                  <ns1:e>
                    <ns1:r>
                      <ns1:rPr>
                        <ns1:scr ns1:val="script"/>
                        <ns1:sty ns1:val="p"/>
                      </ns1:rPr>
                      <w:rPr>
                        <w:rFonts w:ascii="Times New Roman" w:hAnsi="Times New Roman" w:eastAsia="Times New Roman" w:cs="Times New Roman"/>
                      </w:rPr>
                      <ns1:t>C</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(8)</w:t>
            </w:r>
          </w:p>
        </w:tc>
      </w:tr>
    </w:tbl>
    <w:p>
      <w:pPr>
        <w:pStyle w:val="11"/>
        <w:jc w:val="left"/>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w:rPr>
            <w:rFonts w:ascii="Times New Roman" w:hAnsi="Times New Roman" w:eastAsia="Times New Roman" w:cs="Times New Roman"/>
          </w:rPr>
          <ns1:t>r</ns1:t>
        </ns1:r>
      </ns1: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a top-level affine row. For the GP-mean-corrected drift</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this row is defined by</w:t>
      </w:r>
      <w:r>
        <w:rPr>
          <w:rFonts w:ascii="Times New Roman" w:hAnsi="Times New Roman" w:eastAsia="Times New Roman" w:cs="Times New Roman"/>
          <w:sz w:val="20"/>
          <w:szCs w:val="20"/>
        </w:rPr>
        <w:t xml:space="preserve"> </w:t>
      </w:r>
      <ns1:oMath>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is stacked 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Applying the same construction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without GP correction gives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which is used only for the no-GP ablation. This convention keeps all six command-level relative-degree-two rows and the normalized QP decision variable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same coordinates.</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33" name="Picture"/>
            <ns3:graphic>
              <ns3:graphicData uri="http://schemas.openxmlformats.org/drawingml/2006/picture">
                <ns4:pic>
                  <ns4:nvPicPr>
                    <ns4:cNvPr descr="figures/Figure_1.png" id="34" name="Picture"/>
                    <ns4:cNvPicPr>
                      <ns3:picLocks noChangeArrowheads="1" noChangeAspect="1"/>
                    </ns4:cNvPicPr>
                  </ns4:nvPicPr>
                  <ns4:blipFill>
                    <ns3:blip ns5:embed="rId32"/>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normalized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physical command is reconstructed with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rPr>
        <w:t xml:space="preserve">Each modeled component of</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is represented by an independent GP with a Matérn-5/2 kernel. Kernel distances use the frozen training transform</w:t>
      </w:r>
      <w:r>
        <w:rPr>
          <w:rFonts w:ascii="Times New Roman" w:hAnsi="Times New Roman" w:eastAsia="Times New Roman" w:cs="Times New Roman"/>
          <w:sz w:val="20"/>
          <w:szCs w:val="20"/>
        </w:rPr>
        <w:t xml:space="preserve"> </w:t>
      </w:r>
      <ns1:oMath>
        <ns1:sSub>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μ</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s</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oMath>
      <w:r>
        <w:rPr>
          <w:rFonts w:ascii="Times New Roman" w:hAnsi="Times New Roman" w:eastAsia="Times New Roman" w:cs="Times New Roman"/>
          <w:sz w:val="20"/>
          <w:szCs w:val="20"/>
        </w:rPr>
        <w:t xml:space="preserve">; the standard-deviation floor is</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training points, the posterior provides mean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variance</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up>
            <ns1:r>
              <w:rPr>
                <w:rFonts w:ascii="Times New Roman" w:hAnsi="Times New Roman" w:eastAsia="Times New Roman" w:cs="Times New Roman"/>
              </w:rPr>
              <ns1:t>2</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(9)</w:t>
            </w:r>
          </w:p>
        </w:tc>
      </w:tr>
    </w:tbl>
    <w:p>
      <w:pPr>
        <w:pStyle w:val="11"/>
        <w:jc w:val="left"/>
        <w:ind w:firstLine="420"/>
      </w:pPr>
      <w:r>
        <w:rPr>
          <w:rFonts w:ascii="Times New Roman" w:hAnsi="Times New Roman" w:eastAsia="Times New Roman" w:cs="Times New Roman"/>
          <w:sz w:val="20"/>
          <w:szCs w:val="20"/>
        </w:rPr>
        <w:t xml:space="preserve">with joint probability at least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sz w:val="20"/>
          <w:szCs w:val="20"/>
        </w:rPr>
        <w:t xml:space="preserve">. A standard RKHS sufficient multiplier includes both a residual RKHS-norm bound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Δ</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a sub-Gaussian noise scale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R</ns1:t>
        </ns1:r>
      </ns1:oMath>
      <w:r>
        <w:rPr>
          <w:rFonts w:ascii="Times New Roman" w:hAnsi="Times New Roman" w:eastAsia="Times New Roman" w:cs="Times New Roman"/>
          <w:sz w:val="20"/>
          <w:szCs w:val="20"/>
        </w:rPr>
        <w:t xml:space="preserve">, for example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K</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Δ</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R</ns1:t>
        </ns1:r>
        <ns1:rad>
          <ns1:radPr>
            <ns1:degHide ns1:val="on"/>
          </ns1:radPr>
          <ns1:deg/>
          <ns1:e>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rad>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modeled outputs</w:t>
      </w:r>
      <w:r>
        <w:rPr>
          <w:rFonts w:ascii="Times New Roman" w:hAnsi="Times New Roman" w:eastAsia="Times New Roman" w:cs="Times New Roman"/>
          <w:sz w:val="20"/>
          <w:szCs w:val="20"/>
          <w:vertAlign w:val="superscript"/>
        </w:rPr>
        <w:t>34</w:t>
      </w:r>
      <w:r>
        <w:rPr>
          <w:rFonts w:ascii="Times New Roman" w:hAnsi="Times New Roman" w:eastAsia="Times New Roman" w:cs="Times New Roman"/>
          <w:sz w:val="20"/>
          <w:szCs w:val="20"/>
        </w:rPr>
        <w:t xml:space="preserve">. The numerical studies and deployed configuration instead retain the fixed commissioning multiplier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ad>
          <ns1:radPr>
            <ns1:degHide ns1:val="on"/>
          </ns1:radPr>
          <ns1:deg/>
          <ns1:e>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rad>
      </ns1:oMath>
      <w:r>
        <w:rPr>
          <w:rFonts w:ascii="Times New Roman" w:hAnsi="Times New Roman" w:eastAsia="Times New Roman" w:cs="Times New Roman"/>
          <w:sz w:val="20"/>
          <w:szCs w:val="20"/>
        </w:rPr>
        <w:t xml:space="preserve">. This engineering scaling rule defines the reported posterior envelope but does not, by itself, establish Eq. </w:t>
      </w:r>
      <w:r>
        <w:rPr>
          <w:rFonts w:ascii="Times New Roman" w:hAnsi="Times New Roman" w:eastAsia="Times New Roman" w:cs="Times New Roman"/>
          <w:sz w:val="20"/>
          <w:szCs w:val="20"/>
        </w:rPr>
        <w:t xml:space="preserve">(9)</w:t>
      </w:r>
      <w:r>
        <w:rPr>
          <w:rFonts w:ascii="Times New Roman" w:hAnsi="Times New Roman" w:eastAsia="Times New Roman" w:cs="Times New Roman"/>
          <w:sz w:val="20"/>
          <w:szCs w:val="20"/>
        </w:rPr>
        <w:t xml:space="preserve">;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i</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sub>
          <ns1:sup>
            <ns1:r>
              <w:rPr>
                <w:rFonts w:ascii="Times New Roman" w:hAnsi="Times New Roman" w:eastAsia="Times New Roman" w:cs="Times New Roman"/>
              </w:rPr>
              <ns1:t>0</ns1:t>
            </ns1:r>
          </ns1:sup>
        </ns1:sSubSup>
      </ns1: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δ</ns1:t>
                        </ns1:r>
                      </ns1:e>
                      <ns1:sub>
                        <ns1:r>
                          <w:rPr>
                            <w:rFonts w:ascii="Times New Roman" w:hAnsi="Times New Roman" w:eastAsia="Times New Roman" w:cs="Times New Roman"/>
                          </w:rPr>
                          <ns1:t>1</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r>
                      <w:rPr>
                        <w:rFonts w:ascii="Times New Roman" w:hAnsi="Times New Roman" w:eastAsia="Times New Roman" w:cs="Times New Roman"/>
                      </w:rPr>
                      <ns1:t>h</ns1:t>
                    </ns1:r>
                  </ns1:e>
                  <ns1:e>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(10)</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σ</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e>
                    </ns1:nary>
                    <ns1:sSub>
                      <ns1:e>
                        <ns1:r>
                          <w:rPr>
                            <w:rFonts w:ascii="Times New Roman" w:hAnsi="Times New Roman" w:eastAsia="Times New Roman" w:cs="Times New Roman"/>
                          </w:rPr>
                          <ns1:t>σ</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(11)</w:t>
            </w:r>
          </w:p>
        </w:tc>
      </w:tr>
    </w:tbl>
    <w:p>
      <w:pPr>
        <w:pStyle w:val="11"/>
        <w:jc w:val="left"/>
        <w:ind w:firstLine="420"/>
      </w:pPr>
      <w:r>
        <w:rPr>
          <w:rFonts w:ascii="Times New Roman" w:hAnsi="Times New Roman" w:eastAsia="Times New Roman" w:cs="Times New Roman"/>
          <w:sz w:val="20"/>
          <w:szCs w:val="20"/>
        </w:rPr>
        <w:t xml:space="preserve">The three margin relations above define the quantity scaled by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online QP. For the formal result,</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uniform operating-set bound and</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bound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oMath>
      <w:r>
        <w:rPr>
          <w:rFonts w:ascii="Times New Roman" w:hAnsi="Times New Roman" w:eastAsia="Times New Roman" w:cs="Times New Roman"/>
          <w:sz w:val="20"/>
          <w:szCs w:val="20"/>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states the additional dominance condition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max</ns1:t>
                    </ns1:r>
                  </ns1:sub>
                </ns1:sSub>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sSub>
                      <ns1:e>
                        <ns1:d>
                          <ns1:dPr>
                            <ns1:begChr ns1:val="∥"/>
                            <ns1:sepChr ns1:val=""/>
                            <ns1:endChr ns1:val="∥"/>
                            <ns1:grow/>
                          </ns1:dPr>
                          <ns1:e>
                            <ns1:f>
                              <ns1:fPr>
                                <ns1:type ns1:val="bar"/>
                              </ns1:fPr>
                              <ns1:num>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sSub>
                                      <ns1:e>
                                        <ns1:r>
                                          <w:rPr>
                                            <w:rFonts w:ascii="Times New Roman" w:hAnsi="Times New Roman" w:eastAsia="Times New Roman" w:cs="Times New Roman"/>
                                          </w:rPr>
                                          <ns1:t>g</ns1:t>
                                        </ns1:r>
                                      </ns1:e>
                                      <ns1:sub>
                                        <ns1:r>
                                          <w:rPr>
                                            <w:rFonts w:ascii="Times New Roman" w:hAnsi="Times New Roman" w:eastAsia="Times New Roman" w:cs="Times New Roman"/>
                                          </w:rPr>
                                          <ns1:t>v</ns1:t>
                                        </ns1:r>
                                      </ns1:sub>
                                    </ns1:sSub>
                                  </ns1:sub>
                                </ns1:sSub>
                                <ns1:sSubSup>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bSup>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num>
                              <ns1:den>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den>
                            </ns1:f>
                          </ns1:e>
                        </ns1:d>
                      </ns1:e>
                      <ns1:sub>
                        <ns1:r>
                          <w:rPr>
                            <w:rFonts w:ascii="Times New Roman" w:hAnsi="Times New Roman" w:eastAsia="Times New Roman" w:cs="Times New Roman"/>
                          </w:rPr>
                          <ns1:t>2</ns1:t>
                        </ns1:r>
                      </ns1:sub>
                    </ns1:sSub>
                  </ns1:e>
                </ns1:nary>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(12)</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g</ns1:t>
            </ns1:r>
          </ns1:e>
          <ns1:sub>
            <ns1: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0</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max</ns1:t>
            </ns1:r>
          </ns1:sub>
        </ns1:sSub>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sup</ns1:t>
            </ns1:r>
          </ns1:e>
          <ns1:sub>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rad>
          <ns1:radPr>
            <ns1:degHide ns1:val="on"/>
          </ns1:radPr>
          <ns1:deg/>
          <ns1:e>
            <ns1:r>
              <w:rPr>
                <w:rFonts w:ascii="Times New Roman" w:hAnsi="Times New Roman" w:eastAsia="Times New Roman" w:cs="Times New Roman"/>
              </w:rPr>
              <ns1:t>3</ns1:t>
            </ns1:r>
          </ns1:e>
        </ns1:rad>
      </ns1:oMath>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ℓ</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ℓ</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with the empty product equal to one; hence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each implemented</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barrier. The resulting mean-corrected HOCBF constraint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rPr>
        <w:t xml:space="preserve">Assumption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(Operating set and relative degree).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state remains in a compact operating set</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X</ns1:t>
        </ns1:r>
      </ns1:oMath>
      <w:r>
        <w:rPr>
          <w:rFonts w:ascii="Times New Roman" w:hAnsi="Times New Roman" w:eastAsia="Times New Roman" w:cs="Times New Roman"/>
          <w:i/>
          <w:iCs/>
          <w:sz w:val="20"/>
          <w:szCs w:val="20"/>
        </w:rPr>
        <w:t xml:space="preserve">. The true and mean-corrected drifts, input vector fields, GP posterior functions, and barrier functions are locally Lipschitz and continuously differentiable to the order required by the HOCBF recursion. Relative degree is constant on</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The full-row QP has a unique solution whose feedback selection is locally Lipschitz on the certified set, so the closed-loop differential equation admits a unique Carathéodory solution.</w:t>
      </w:r>
    </w:p>
    <w:p>
      <w:pPr>
        <w:pStyle w:val="3"/>
        <w:jc w:val="left"/>
        <w:ind w:firstLine="420"/>
      </w:pPr>
      <w:r>
        <w:rPr>
          <w:rFonts w:ascii="Times New Roman" w:hAnsi="Times New Roman" w:eastAsia="Times New Roman" w:cs="Times New Roman"/>
          <w:b/>
          <w:bCs/>
          <w:sz w:val="20"/>
          <w:szCs w:val="20"/>
        </w:rPr>
        <w:t xml:space="preserve">Assumption 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(Drift-residual GP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input matrix is exact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i/>
          <w:iCs/>
          <w:sz w:val="20"/>
          <w:szCs w:val="20"/>
        </w:rPr>
        <w:t xml:space="preserve">). For the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3</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modeled residual outputs</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Eq. </w:t>
      </w:r>
      <w:r>
        <w:rPr>
          <w:rFonts w:ascii="Times New Roman" w:hAnsi="Times New Roman" w:eastAsia="Times New Roman" w:cs="Times New Roman"/>
          <w:i/>
          <w:iCs/>
          <w:sz w:val="20"/>
          <w:szCs w:val="20"/>
        </w:rPr>
        <w:t xml:space="preserve">(9)</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holds simultaneously over</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alone is not such a proof. Residuals in the unmodeled</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oMath>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oMath>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oMath>
      <w:r>
        <w:rPr>
          <w:rFonts w:ascii="Times New Roman" w:hAnsi="Times New Roman" w:eastAsia="Times New Roman" w:cs="Times New Roman"/>
          <w:i/>
          <w:iCs/>
          <w:sz w:val="20"/>
          <w:szCs w:val="20"/>
        </w:rPr>
        <w:t xml:space="preserve">, and</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rows are zero in the drift-only benchmark or are otherwise covered by Assumption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(Compositional residual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derivative constants used in Lemma S1 are finite on</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rPr>
        <w:t xml:space="preserve">(12)</w:t>
      </w:r>
      <w:r>
        <w:rPr>
          <w:rFonts w:ascii="Times New Roman" w:hAnsi="Times New Roman" w:eastAsia="Times New Roman" w:cs="Times New Roman"/>
          <w:i/>
          <w:iCs/>
          <w:sz w:val="20"/>
          <w:szCs w:val="20"/>
        </w:rPr>
        <w:t xml:space="preserve">, satisfy</w:t>
      </w:r>
      <w:r>
        <w:rPr>
          <w:rFonts w:ascii="Times New Roman" w:hAnsi="Times New Roman" w:eastAsia="Times New Roman" w:cs="Times New Roman"/>
          <w:i/>
          <w:iCs/>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 every active HOCBF row and every admissible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ns1:oMath>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ψ</ns1:t>
            </ns1:r>
          </ns1:e>
          <ns1:sub>
            <ns1: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m</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If</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i/>
          <w:iCs/>
          <w:sz w:val="20"/>
          <w:szCs w:val="20"/>
        </w:rPr>
        <w:t xml:space="preserve">, then, under Assumptions </w:t>
      </w:r>
      <w:r>
        <w:rPr>
          <w:rFonts w:ascii="Times New Roman" w:hAnsi="Times New Roman" w:eastAsia="Times New Roman" w:cs="Times New Roman"/>
          <w:i/>
          <w:iCs/>
          <w:sz w:val="20"/>
          <w:szCs w:val="20"/>
        </w:rPr>
        <w:t xml:space="preserve">1</w:t>
      </w:r>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4</w:t>
      </w:r>
      <w:r>
        <w:rPr>
          <w:rFonts w:ascii="Times New Roman" w:hAnsi="Times New Roman" w:eastAsia="Times New Roman" w:cs="Times New Roman"/>
          <w:i/>
          <w:iCs/>
          <w:sz w:val="20"/>
          <w:szCs w:val="20"/>
        </w:rPr>
        <w:t xml:space="preserve">, the QP in Eq.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renders the set</w:t>
      </w:r>
      <w:r>
        <w:rPr>
          <w:rFonts w:ascii="Times New Roman" w:hAnsi="Times New Roman" w:eastAsia="Times New Roman" w:cs="Times New Roman"/>
          <w:i/>
          <w:iCs/>
          <w:sz w:val="20"/>
          <w:szCs w:val="20"/>
        </w:rPr>
        <w:t xml:space="preserve"> </w:t>
      </w:r>
      <ns1:oMath>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in Eq. </w:t>
      </w:r>
      <w:r>
        <w:rPr>
          <w:rFonts w:ascii="Times New Roman" w:hAnsi="Times New Roman" w:eastAsia="Times New Roman" w:cs="Times New Roman"/>
          <w:i/>
          <w:iCs/>
          <w:sz w:val="20"/>
          <w:szCs w:val="20"/>
        </w:rPr>
        <w:t xml:space="preserve">(8)</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forward invariant 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 obtain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and then applies the HOCBF forward-invariance result to the tightened QP. The certificate is attached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The online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therefore has a dual interpretation: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it applies the complete implemented margin and recovers the formal bound only when Assumptions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The QP enforces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i.e., the GP-mean-corrected HOCBF constraint without an additional robustness margin. The separate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notation denotes the no-GP ablation.</w:t>
      </w:r>
    </w:p>
    <w:p>
      <w:pPr>
        <w:numPr>
          <w:ilvl w:val="0"/>
          <w:numId w:val="1003"/>
        </w:numPr>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the full implemented compositional margin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It recovers the worst-case certificate only when the residual event, derivative bounds,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full-row QP feasibility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all hold.</w:t>
      </w:r>
    </w:p>
    <w:p>
      <w:pPr>
        <w:numPr>
          <w:ilvl w:val="0"/>
          <w:numId w:val="1003"/>
        </w:numPr>
        <w:jc w:val="left"/>
      </w:pP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&lt;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rPr>
        <w:t xml:space="preserve">The conditional probabilistic certificate is available only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when every assumption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established; setting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alone is insufficient. Values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f</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r</ns1:t>
            </ns1:r>
          </ns1:sub>
        </ns1:sSub>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continuous-time, whereas the implementation uses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and only when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i</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0.01</ns1:t>
        </ns1:r>
      </ns1:oMath>
      <w:r>
        <w:rPr>
          <w:rFonts w:ascii="Times New Roman" w:hAnsi="Times New Roman" w:eastAsia="Times New Roman" w:cs="Times New Roman"/>
          <w:sz w:val="20"/>
          <w:szCs w:val="20"/>
        </w:rPr>
        <w:t xml:space="preserve">, the unscaled row right-hand side is below</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original six-row problem, so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rPr>
        <w:t xml:space="preserve">The benchmark retains the five process states of the published boiler–turbine model and adds feedwater-flow and turbine-valve actuator states, giving the seven-state vector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The identified feedwater and valve time constants are 15 and 6 s; the fuel-transport time constant is 30 s. The normalized command deviation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physical scales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enforced limits are pressure (13–24 MPa), separator enthalpy (2670–2830 kJ/kg), and generator active power around the dispatch target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20"/>
          <w:szCs w:val="20"/>
        </w:rPr>
        <w:t xml:space="preserve"> MW). All six command-level barriers have relative degree two. The HOCBF uses the sample-matched surrogate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f</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g</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t</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the rollout applies its one-step forward-Euler map</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g</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Thus, the HOCBF rows and controller-instant transition use the same drift and command matrices.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structural scope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rollout plant and filter share the same fixed input matrix, so mismatch enters through drift residuals. The finite rollouts do not by themselves verify the theorem’s uniform residual and derivative-bound assumptions or inter-sample invariance.</w:t>
      </w:r>
    </w:p>
    <w:p>
      <w:pPr>
        <w:pStyle w:val="3"/>
        <w:jc w:val="left"/>
        <w:ind w:firstLine="420"/>
      </w:pPr>
      <w:r>
        <w:rPr>
          <w:rFonts w:ascii="Times New Roman" w:hAnsi="Times New Roman" w:eastAsia="Times New Roman" w:cs="Times New Roman"/>
          <w:sz w:val="20"/>
          <w:szCs w:val="20"/>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 is maintained. S5 and S6 also perturb the power/fuel-delay states. Scenario magnitudes are frozen before the confirmatory multi-seed sweep at the smallest screened scale that produces a nonzero 500 s unfiltered violation while retaining the equilibrium in the true HOCBF extended set.</w:t>
      </w:r>
    </w:p>
    <w:p>
      <w:pPr>
        <w:pStyle w:val="3"/>
        <w:jc w:val="left"/>
        <w:ind w:firstLine="420"/>
      </w:pPr>
      <w:r>
        <w:rPr>
          <w:rFonts w:ascii="Times New Roman" w:hAnsi="Times New Roman" w:eastAsia="Times New Roman" w:cs="Times New Roman"/>
          <w:sz w:val="20"/>
          <w:szCs w:val="20"/>
        </w:rPr>
        <w:t xml:space="preserve">To isolate the safety layer in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fixed-proposal and HOCBF rows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 the same seeded, bounded upstream deviation command and differ only in the downstream filter. Initial states satisfy both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true-drift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ψ</ns1:t>
            </ns1:r>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conditions; this oracle check is used only to define comparable evaluation starts and is unavailable to the controller. Each method-condition cell contains 50 independent 500-sample rollouts (25,000 controller samples). All GP variants use 500 scenario-specific training transitions, the common input/output vector</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rPr>
        <w:t xml:space="preserve">NMPC is evaluated under the same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dynamics as an optimization-based reference. It solves a warm-started SLSQP problem with horizon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20"/>
          <w:szCs w:val="20"/>
        </w:rPr>
        <w:t xml:space="preserve">, normalized deviation-input bounds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same six process constraints, the same sample-matched seven-state predictor, and additive disturbance correction. The output and input weights are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respectively; the disturbance-estimator gain is 0.5, and SLSQP uses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NMPC uses its own receding-horizon proposal and is reported as an optimization reference rather than as a same-proposal filter ablation.</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R</ns1:t>
                    </ns1:r>
                  </ns1:e>
                  <ns1:sub>
                    <ns1:r>
                      <ns1:rPr>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f>
                  <ns1:fPr>
                    <ns1:type ns1:val="bar"/>
                  </ns1:fPr>
                  <ns1:num>
                    <ns1:nary>
                      <ns1:naryPr>
                        <ns1:chr ns1:val="∑"/>
                        <ns1:limLoc ns1:val="undOvr"/>
                        <ns1:subHide ns1:val="off"/>
                        <ns1:supHide ns1:val="off"/>
                      </ns1:naryPr>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up>
                      <ns1:e>
                        <ns1:nary>
                          <ns1:naryPr>
                            <ns1:chr ns1:val="∑"/>
                            <ns1:limLoc ns1:val="undOvr"/>
                            <ns1:subHide ns1:val="off"/>
                            <ns1:supHide ns1:val="off"/>
                          </ns1:naryPr>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nary>
                              <ns1:naryPr>
                                <ns1:chr ns1:val="∑"/>
                                <ns1:limLoc ns1:val="undOvr"/>
                                <ns1:subHide ns1:val="off"/>
                                <ns1:supHide ns1:val="off"/>
                              </ns1:naryPr>
                              <ns1:sub>
                                <ns1: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r>
                                  <ns1:rPr>
                                    <ns1:sty ns1:val="b"/>
                                  </ns1:rPr>
                                  <w:rPr>
                                    <w:rFonts w:ascii="Times New Roman" w:hAnsi="Times New Roman" w:eastAsia="Times New Roman" w:cs="Times New Roman"/>
                                  </w:rPr>
                                  <ns1:t>1</ns1:t>
                                </ns1:r>
                              </ns1:e>
                            </ns1:nary>
                          </ns1:e>
                        </ns1:nary>
                      </ns1:e>
                    </ns1:nary>
                    <ns1:r>
                      <ns1:rPr>
                        <ns1:sty ns1:val="p"/>
                      </ns1:rPr>
                      <w:rPr>
                        <w:rFonts w:ascii="Times New Roman" w:hAnsi="Times New Roman" w:eastAsia="Times New Roman" w:cs="Times New Roman"/>
                      </w:rPr>
                      <ns1:t>{</ns1:t>
                    </ns1:r>
                    <ns1:limLow>
                      <ns1:e>
                        <ns1:r>
                          <ns1:rPr>
                            <ns1:sty ns1:val="p"/>
                          </ns1:rPr>
                          <w:rPr>
                            <w:rFonts w:ascii="Times New Roman" w:hAnsi="Times New Roman" w:eastAsia="Times New Roman" w:cs="Times New Roman"/>
                          </w:rPr>
                          <ns1:t>min</ns1:t>
                        </ns1:r>
                      </ns1:e>
                      <ns1:lim>
                        <ns1:r>
                          <w:rPr>
                            <w:rFonts w:ascii="Times New Roman" w:hAnsi="Times New Roman" w:eastAsia="Times New Roman" w:cs="Times New Roman"/>
                          </w:rPr>
                          <ns1:t>j</ns1:t>
                        </ns1:r>
                      </ns1:lim>
                    </ns1:limLow>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num>
                  <ns1:den>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den>
                </ns1:f>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(13)</w:t>
            </w:r>
          </w:p>
        </w:tc>
      </w:tr>
    </w:tbl>
    <w:p>
      <w:pPr>
        <w:pStyle w:val="11"/>
        <w:jc w:val="left"/>
        <w:ind w:firstLine="420"/>
      </w:pPr>
      <w:r>
        <w:rPr>
          <w:rFonts w:ascii="Times New Roman" w:hAnsi="Times New Roman" w:eastAsia="Times New Roman" w:cs="Times New Roman"/>
          <w:sz w:val="20"/>
          <w:szCs w:val="20"/>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η</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to avoid counting QP boundary-roundoff as physical violation; the later stress-test diagnostics use the tolerance stated in their result files or captions. This is not an episode-level probability. Counts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refer only to its diagnostic rollout, whereas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rPr>
        <w:t xml:space="preserve">Table 2. </w:t>
      </w:r>
      <w:r>
        <w:rPr>
          <w:rFonts w:ascii="Times New Roman" w:hAnsi="Times New Roman" w:eastAsia="Times New Roman" w:cs="Times New Roman"/>
          <w:sz w:val="20"/>
          <w:szCs w:val="20"/>
        </w:rPr>
        <w:t xml:space="preserve">Primary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sample-level constraint violation rate (%) at controller instants, computed by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a raw-margin numerical tolerance of</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Each cell aggregates 50 independent 500-sample rollouts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controller samples). The fixed-proposal, HOCBF, and RoCBF-SF rows share the same upstream command; NMPC uses its own receding-horizon proposal. The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is an implemented endpoint test, not the recommended commissioned setting.</w:t>
      </w:r>
    </w:p>
    <w:tbl>
      <w:tblPr>
        <w:tblStyle w:val="Table"/>
        <w:tblW w:type="dxa" w:w="8500"/>
        <w:tblLook w:firstRow="1" w:lastRow="0" w:firstColumn="0" w:lastColumn="0" w:noHBand="0" w:noVBand="0" w:val="0020"/>
        <w:tblCaption w:val="Table 2. Primary \Delta g=0 validation: sample-level constraint violation rate (%) at controller instants, computed by Eq. [eq:sample_violation_rate] with a raw-margin numerical tolerance of 10^{-2}. Each cell aggregates 50 independent 500-sample rollouts (25,000 controller samples). The fixed-proposal, HOCBF, and RoCBF-SF rows share the same upstream command; NMPC uses its own receding-horizon proposal. The \epsilon_\kappa=1 row is an implemented endpoint test, not the recommended commissioned settin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(all</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NMPC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 tune-selected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oMath>
            <w:r>
              <w:rPr>
                <w:rFonts w:ascii="Times New Roman" w:hAnsi="Times New Roman" w:eastAsia="Times New Roman" w:cs="Times New Roman"/>
                <w:sz w:val="18"/>
                <w:szCs w:val="18"/>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58.06</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the drift-only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Across the six mismatch conditions, the fixed upstream proposal and HOCBF without GP correction each record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violating samples among 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controller samples. The identical counts show that structurally correct command-level HOCBF rows alone do not compensate the imposed drift residuals in these rollouts. The S3 tune/test procedure selects the smallest passing value,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the resulting GP-mean RoCBF-SF row records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across the nominal case and all six mismatch conditions. Each condition uses its own frozen scenario-specific GP; the controller does not identify the true scenario online. NMPC also records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no solver failure. The comparison therefore does not establish universal superiority over MPC; RoCBF-SF’s deployment distinction is its one-step downstream projection of an existing coordinated-controller command.</w:t>
      </w:r>
    </w:p>
    <w:p>
      <w:pPr>
        <w:pStyle w:val="3"/>
        <w:jc w:val="left"/>
        <w:ind w:firstLine="420"/>
      </w:pPr>
      <w:r>
        <w:rPr>
          <w:rFonts w:ascii="Times New Roman" w:hAnsi="Times New Roman" w:eastAsia="Times New Roman" w:cs="Times New Roman"/>
          <w:sz w:val="20"/>
          <w:szCs w:val="20"/>
        </w:rPr>
        <w:t xml:space="preserve">The full implemented-margin row shows why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commissioned rather than set mechanically to its largest value. It remains feasible in the nominal condition, but rejects 149</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800/150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across the six mismatch conditions and consequently reproduces the upstream proposal’s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violations. This outcome does not contradict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numerical endpoint does not satisfy the theorem’s full-row robust-QP-feasibility condition, and the finite benchmark does not independently establish its uniform residual event or derivative bounds.</w:t>
      </w:r>
    </w:p>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that feasibility mechanism explicit for S3. The experiment records every QP attempt, rejected candidate, fallback, intervention, and normalized residual. The tune-selected GP-mean row accepts every QP and records no state-limit violation; the full implemented-margin endpoint rejects all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and reverts to the upstream proposal throughout.</w:t>
      </w:r>
    </w:p>
    <w:p>
      <w:pPr>
        <w:jc w:val="left"/>
        <w:spacing w:before="80" w:after="120"/>
        <w:keepLines/>
      </w:pPr>
      <w:r>
        <w:rPr>
          <w:rFonts w:ascii="Times New Roman" w:hAnsi="Times New Roman" w:eastAsia="Times New Roman" w:cs="Times New Roman"/>
          <w:sz w:val="20"/>
          <w:szCs w:val="20"/>
          <w:b/>
          <w:bCs/>
        </w:rPr>
        <w:t xml:space="preserve">Table 3. </w:t>
      </w:r>
      <w:r>
        <w:rPr>
          <w:rFonts w:ascii="Times New Roman" w:hAnsi="Times New Roman" w:eastAsia="Times New Roman" w:cs="Times New Roman"/>
          <w:sz w:val="20"/>
          <w:szCs w:val="20"/>
          <w:color w:val="000000"/>
          <w:b/>
          <w:bCs/>
          <w:i/>
          <w:iCs/>
        </w:rPr>
        <w:t xml:space="preserve">S3 solver and intervention diagnostics for the primary</w:t>
      </w:r>
      <w:r>
        <w:rPr>
          <w:rFonts w:ascii="Times New Roman" w:hAnsi="Times New Roman" w:eastAsia="Times New Roman" w:cs="Times New Roman"/>
          <w:sz w:val="20"/>
          <w:szCs w:val="20"/>
          <w:color w:val="000000"/>
          <w:b/>
          <w:bCs/>
          <w:i/>
          <w:iCs/>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b/>
          <w:bCs/>
          <w:i/>
          <w:iCs/>
        </w:rPr>
        <w:t xml:space="preserve"> </w:t>
      </w:r>
      <w:r>
        <w:rPr>
          <w:rFonts w:ascii="Times New Roman" w:hAnsi="Times New Roman" w:eastAsia="Times New Roman" w:cs="Times New Roman"/>
          <w:sz w:val="20"/>
          <w:szCs w:val="20"/>
          <w:color w:val="000000"/>
          <w:b/>
          <w:bCs/>
          <w:i/>
          <w:iCs/>
        </w:rPr>
        <w:t xml:space="preserve">validation. Each row contains 25</w:t>
      </w:r>
      <w:r>
        <w:rPr>
          <w:rFonts w:ascii="Times New Roman" w:hAnsi="Times New Roman" w:eastAsia="Times New Roman" w:cs="Times New Roman"/>
          <w:sz w:val="20"/>
          <w:szCs w:val="20"/>
          <w:color w:val="000000"/>
          <w:b/>
          <w:bCs/>
          <w:i/>
          <w:iCs/>
        </w:rPr>
        <w:t xml:space="preserve">,</w:t>
      </w:r>
      <w:r>
        <w:rPr>
          <w:rFonts w:ascii="Times New Roman" w:hAnsi="Times New Roman" w:eastAsia="Times New Roman" w:cs="Times New Roman"/>
          <w:sz w:val="20"/>
          <w:szCs w:val="20"/>
          <w:color w:val="000000"/>
          <w:b/>
          <w:bCs/>
          <w:i/>
          <w:iCs/>
        </w:rPr>
        <w:t xml:space="preserve">000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color w:val="000000"/>
          <w:b/>
          <w:bCs/>
          <w:i/>
          <w:iCs/>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1600"/>
        <w:gridCol w:w="1400"/>
        <w:gridCol w:w="1400"/>
        <w:gridCol w:w="130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S3 method</w:t>
            </w:r>
          </w:p>
        </w:tc>
        <w:tc>
          <w:tcPr>
            <w:tcW w:w="16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Violation</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rejected</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Fallback</w:t>
            </w:r>
          </w:p>
        </w:tc>
        <w:tc>
          <w:tcPr>
            <w:tcW w:w="13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intervention</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w:t>
            </w:r>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9798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(39.19%)</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41.32%</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w:t>
            </w:r>
          </w:p>
        </w:tc>
        <w:tc>
          <w:tcPr>
            <w:tcW w:w="16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9798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(39.19%)</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r>
    </w:tbl>
    <w:p>
      <w:pPr>
        <w:pStyle w:val="3"/>
        <w:jc w:val="left"/>
        <w:ind w:firstLine="420"/>
      </w:pPr>
      <w:r>
        <w:rPr>
          <w:rFonts w:ascii="Times New Roman" w:hAnsi="Times New Roman" w:eastAsia="Times New Roman" w:cs="Times New Roman"/>
          <w:sz w:val="20"/>
          <w:szCs w:val="20"/>
        </w:rPr>
        <w:t xml:space="preserve">The results identify a mechanism hierarchy within the tested benchmark: the actuator-augmented HOCBF supplies the required relative-degree-two command constraints, GP residual correction produces the observed mismatch compensation, and finite-sample calibration prevents unsupported uncertainty tightening from destroying QP feasibility.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403463"/>
            <ns2:effectExtent b="0" l="0" r="0" t="0"/>
            <ns2:docPr descr="" title="" id="49" name="Picture"/>
            <ns3:graphic>
              <ns3:graphicData uri="http://schemas.openxmlformats.org/drawingml/2006/picture">
                <ns4:pic>
                  <ns4:nvPicPr>
                    <ns4:cNvPr descr="figures/Figure_6_process_response.png" id="50" name="Picture"/>
                    <ns4:cNvPicPr>
                      <ns3:picLocks noChangeArrowheads="1" noChangeAspect="1"/>
                    </ns4:cNvPicPr>
                  </ns4:nvPicPr>
                  <ns4:blipFill>
                    <ns3:blip ns5:embed="rId48"/>
                    <ns3:stretch>
                      <ns3:fillRect/>
                    </ns3:stretch>
                  </ns4:blipFill>
                  <ns4:spPr bwMode="auto">
                    <ns3:xfrm>
                      <ns3:off x="0" y="0"/>
                      <ns3:ext cx="5006975" cy="34034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2. </w:t>
      </w:r>
      <w:r>
        <w:rPr>
          <w:rFonts w:ascii="Times New Roman" w:hAnsi="Times New Roman" w:eastAsia="Times New Roman" w:cs="Times New Roman"/>
          <w:sz w:val="20"/>
          <w:szCs w:val="20"/>
        </w:rPr>
        <w:t xml:space="preserve">Closed-loop pressure-bottleneck mechanism for representative seed 3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Separator-pressure lower-bound margin and normalized QP correction over the 45–135 s diagnostic interval. The shaded region marks violation of the lower pressure constraint.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 300 s event record, distinguishing accepted QP intervention, state-limit violation, and rejected-QP fallback.</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Full-rollout minimum pressure margin and sample-level violation rate; the symmetric-log horizontal scale resolves the tune-selected near-boundary trajectory while retaining the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counting tolerance defined in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shows the pressure bottleneck directly in a representative S3 rollout. HOCBF without GP correction produces 239/300 violating samples and a minimum lower-pressure margin 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-0.59553</w:t>
      </w:r>
      <w:r>
        <w:rPr>
          <w:rFonts w:ascii="Times New Roman" w:hAnsi="Times New Roman" w:eastAsia="Times New Roman" w:cs="Times New Roman"/>
          <w:sz w:val="20"/>
          <w:szCs w:val="20"/>
        </w:rPr>
        <w:t xml:space="preserve"> MPa. The full implemented-margin endpoint rejects every QP candidate in this rollout and therefore follows the fallback proposal, producing essentially the same pressure excursion. The tune-selected mean-only setting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accepts all 300 QPs, intervenes on 241 samples, and records 0/300 violations under the stated counting tolerance; its unrounded minimum pressure margin is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r>
          <w:rPr>
            <w:rFonts w:ascii="Times New Roman" w:hAnsi="Times New Roman" w:eastAsia="Times New Roman" w:cs="Times New Roman"/>
          </w:rPr>
          <ns1:t>4.94</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sup>
        </ns1:sSup>
      </ns1:oMath>
      <w:r>
        <w:rPr>
          <w:rFonts w:ascii="Times New Roman" w:hAnsi="Times New Roman" w:eastAsia="Times New Roman" w:cs="Times New Roman"/>
          <w:sz w:val="20"/>
          <w:szCs w:val="20"/>
        </w:rPr>
        <w:t xml:space="preserve"> MPa. The correction and event panels therefore attribute the change to accepted GP-mean-corrected QP intervention rather than to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53" name="Picture"/>
            <ns3:graphic>
              <ns3:graphicData uri="http://schemas.openxmlformats.org/drawingml/2006/picture">
                <ns4:pic>
                  <ns4:nvPicPr>
                    <ns4:cNvPr descr="figures/Figure_8_model_mismatch.png" id="54" name="Picture"/>
                    <ns4:cNvPicPr>
                      <ns3:picLocks noChangeArrowheads="1" noChangeAspect="1"/>
                    </ns4:cNvPicPr>
                  </ns4:nvPicPr>
                  <ns4:blipFill>
                    <ns3:blip ns5:embed="rId52"/>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3. </w:t>
      </w:r>
      <w:r>
        <w:rPr>
          <w:rFonts w:ascii="Times New Roman" w:hAnsi="Times New Roman" w:eastAsia="Times New Roman" w:cs="Times New Roman"/>
          <w:sz w:val="20"/>
          <w:szCs w:val="20"/>
        </w:rPr>
        <w:t xml:space="preserve">Direct model-mismatch diagnosis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Nominal and true one-step enthalpy margins from identical state–input pairs.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and enthalpy residual rates compared with the scenario-specific GP posterior mean and commissioning envelope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12.262</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500</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Posterior residual error normalized by that implemented envelope; values below one lie inside the plotted diagnostic envelope, not a separately established uniform GP confidence set.</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the model mismatch explicit. At the first controller instant, the same state and zero-deviation input give nominal and true next-step separator pressures of 16.546 and 15.582 MPa, respectively; the corresponding nominal and true lower-enthalpy margins are 78.628 and 64.628 kJ/kg. Along the diagnostic trajectory, the realized residual rates range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-1.497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-1.050</w:t>
      </w:r>
      <w:r>
        <w:rPr>
          <w:rFonts w:ascii="Times New Roman" w:hAnsi="Times New Roman" w:eastAsia="Times New Roman" w:cs="Times New Roman"/>
          <w:sz w:val="20"/>
          <w:szCs w:val="20"/>
        </w:rPr>
        <w:t xml:space="preserve"> MPa/s for pressure and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-14.777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-14.000</w:t>
      </w:r>
      <w:r>
        <w:rPr>
          <w:rFonts w:ascii="Times New Roman" w:hAnsi="Times New Roman" w:eastAsia="Times New Roman" w:cs="Times New Roman"/>
          <w:sz w:val="20"/>
          <w:szCs w:val="20"/>
        </w:rPr>
        <w:t xml:space="preserve"> kJ kg</w:t>
      </w:r>
      <ns1:oMath>
        <ns1:sSup>
          <ns1:e>
            <ns1:r>
              <w:rPr>
                <w:rFonts w:ascii="Times New Roman" w:hAnsi="Times New Roman" w:eastAsia="Times New Roman" w:cs="Times New Roman"/>
              </w:rPr>
              <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p>
      </ns1:oMath>
      <w:r>
        <w:rPr>
          <w:rFonts w:ascii="Times New Roman" w:hAnsi="Times New Roman" w:eastAsia="Times New Roman" w:cs="Times New Roman"/>
          <w:sz w:val="20"/>
          <w:szCs w:val="20"/>
        </w:rPr>
        <w:t xml:space="preserve"> s</w:t>
      </w:r>
      <ns1:oMath>
        <ns1:sSup>
          <ns1:e>
            <ns1:r>
              <w:rPr>
                <w:rFonts w:ascii="Times New Roman" w:hAnsi="Times New Roman" w:eastAsia="Times New Roman" w:cs="Times New Roman"/>
              </w:rPr>
              <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enthalpy. The GP posterior mean tracks this structured discrepancy, and the normalized posterior error remains below 0.003 inside the implemented commissioning envelope. The filter therefore corrects the learned drift residual before applying any nonzero robustness multiplier.</w:t>
      </w:r>
    </w:p>
    <w:p>
      <w:pPr>
        <w:jc w:val="center"/>
        <w:keepNext/>
      </w:pPr>
      <w:r>
        <w:rPr>
          <w:rFonts w:ascii="Times New Roman" w:hAnsi="Times New Roman" w:eastAsia="Times New Roman" w:cs="Times New Roman"/>
          <w:sz w:val="20"/>
          <w:szCs w:val="20"/>
        </w:rPr>
        <w:drawing>
          <ns2:inline>
            <ns2:extent cx="5006975" cy="1973467"/>
            <ns2:effectExtent b="0" l="0" r="0" t="0"/>
            <ns2:docPr descr="" title="" id="57" name="Picture"/>
            <ns3:graphic>
              <ns3:graphicData uri="http://schemas.openxmlformats.org/drawingml/2006/picture">
                <ns4:pic>
                  <ns4:nvPicPr>
                    <ns4:cNvPr descr="figures/Figure_2.png" id="58" name="Picture"/>
                    <ns4:cNvPicPr>
                      <ns3:picLocks noChangeArrowheads="1" noChangeAspect="1"/>
                    </ns4:cNvPicPr>
                  </ns4:nvPicPr>
                  <ns4:blipFill>
                    <ns3:blip ns5:embed="rId56"/>
                    <ns3:stretch>
                      <ns3:fillRect/>
                    </ns3:stretch>
                  </ns4:blipFill>
                  <ns4:spPr bwMode="auto">
                    <ns3:xfrm>
                      <ns3:off x="0" y="0"/>
                      <ns3:ext cx="5006975" cy="1973467"/>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4. </w:t>
      </w:r>
      <w:r>
        <w:rPr>
          <w:rFonts w:ascii="Times New Roman" w:hAnsi="Times New Roman" w:eastAsia="Times New Roman" w:cs="Times New Roman"/>
          <w:sz w:val="20"/>
          <w:szCs w:val="20"/>
        </w:rPr>
        <w:t xml:space="preserve">Tune/test calibration of</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Pooled and maximum-per-seed violation and QP-rejection rates for tune seeds 0–2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Results for held-out seeds 3–4 after fixing the selected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no retuning used the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holdout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calibration from confirmation. On tune seeds 0–2,</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0.01, 0.02, and 0.05 each give 0/15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and no rejected QP; the predeclared smallest-passing rule therefore selects the mean-only endpoint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no violation is observed but 13/15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are rejected. Values of 0.2 and above fail the feasibility gate, and the full endpoint rejects all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tune-set QPs. After fixing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held-out seeds 3–4 give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and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without retuning. The zero-count Wilson upper value reported in the Supplemental Material is only a descriptive Bernoulli reference because adjacent controller samples are serially correlated. The result is a finite-sample selection outcome, not proof that the violation probability is zero.</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62" name="Picture"/>
            <ns3:graphic>
              <ns3:graphicData uri="http://schemas.openxmlformats.org/drawingml/2006/picture">
                <ns4:pic>
                  <ns4:nvPicPr>
                    <ns4:cNvPr descr="figures/Figure_GP_data_sensitivity.png" id="63" name="Picture"/>
                    <ns4:cNvPicPr>
                      <ns3:picLocks noChangeArrowheads="1" noChangeAspect="1"/>
                    </ns4:cNvPicPr>
                  </ns4:nvPicPr>
                  <ns4:blipFill>
                    <ns3:blip ns5:embed="rId61"/>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5. </w:t>
      </w:r>
      <w:r>
        <w:rPr>
          <w:rFonts w:ascii="Times New Roman" w:hAnsi="Times New Roman" w:eastAsia="Times New Roman" w:cs="Times New Roman"/>
          <w:sz w:val="20"/>
          <w:szCs w:val="20"/>
        </w:rPr>
        <w:t xml:space="preserve">Controlled GP training-data sensitivity 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GP commissioning gate rather than treating every fitted model as deployable. Across 100, 250, and 500 clean training transitions, held-out NRMSE decreases from 0.00090 to 0.00046, empirical interval coverage is 100%, and the tune-selected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gives 0/2500 violations and no QP rejection at each size. Synthetic target corruption exposes a dictionary-size dependence: the 100- and 250-point fits produce 5.76–20.24% violation and 4.04–8.60% QP rejection, whereas the 500-point fits retain 0/2500 observed violations and no QP rejection at both tested corruption levels, with 99.8–99.9% coverage. The result supports quantity, coverage, and closed-loop feasibility as joint pre-enable gates; it does not estimate plant-data corruption or establish universal robustness to bad labels.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rPr>
        <w:t>4.4 Real-Time Computation</w:t>
      </w:r>
    </w:p>
    <w:p>
      <w:pPr>
        <w:pStyle w:val="11"/>
        <w:jc w:val="left"/>
        <w:ind w:firstLine="420"/>
      </w:pPr>
      <w:r>
        <w:rPr>
          <w:rFonts w:ascii="Times New Roman" w:hAnsi="Times New Roman" w:eastAsia="Times New Roman" w:cs="Times New Roman"/>
          <w:sz w:val="20"/>
          <w:szCs w:val="20"/>
        </w:rPr>
        <w:t xml:space="preserve">The deployment configuration specifies an AMD EPYC Embedded 4565P processor, 64 GB (2</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4.5 Measured Plant Evidence: Envelope, Matched Windows, and Controller Logs</w:t>
      </w:r>
    </w:p>
    <w:p>
      <w:pPr>
        <w:pStyle w:val="11"/>
        <w:jc w:val="left"/>
        <w:ind w:firstLine="420"/>
      </w:pPr>
      <w:r>
        <w:rPr>
          <w:rFonts w:ascii="Times New Roman" w:hAnsi="Times New Roman" w:eastAsia="Times New Roman" w:cs="Times New Roman"/>
          <w:sz w:val="20"/>
          <w:szCs w:val="20"/>
        </w:rPr>
        <w:t xml:space="preserve">The simulation benchmark establishes the closed-loop mechanism: GP residual correction closes most of the model mismatch,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 a bounded historian snapshot from the 660 MW unit as an operating-envelope check. The grey envelope uses an approximately 24 h loaded operating window from 1 July 2026 02:33 to 2 July 2026 02:28 local time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288</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68" name="Picture"/>
            <ns3:graphic>
              <ns3:graphicData uri="http://schemas.openxmlformats.org/drawingml/2006/picture">
                <ns4:pic>
                  <ns4:nvPicPr>
                    <ns4:cNvPr descr="figures/Figure_9_production_historian.png" id="69" name="Picture"/>
                    <ns4:cNvPicPr>
                      <ns3:picLocks noChangeArrowheads="1" noChangeAspect="1"/>
                    </ns4:cNvPicPr>
                  </ns4:nvPicPr>
                  <ns4:blipFill>
                    <ns3:blip ns5:embed="rId67"/>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6. </w:t>
      </w:r>
      <w:r>
        <w:rPr>
          <w:rFonts w:ascii="Times New Roman" w:hAnsi="Times New Roman" w:eastAsia="Times New Roman" w:cs="Times New Roman"/>
          <w:sz w:val="20"/>
          <w:szCs w:val="20"/>
        </w:rPr>
        <w:t xml:space="preserve">Plant-historian operating-envelope check from the 660 MW ultra-supercritical unit.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low-to-mid-load historian context windows (MW01–MW03), whose main-steam-pressure ranges are 13.21–19.15 MPa. They do not supply controller-internal QP fields. Load was strongly correlated with pressure (</w:t>
      </w:r>
      <ns1:oMath>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0.986</ns1:t>
        </ns1:r>
      </ns1:oMath>
      <w:r>
        <w:rPr>
          <w:rFonts w:ascii="Times New Roman" w:hAnsi="Times New Roman" w:eastAsia="Times New Roman" w:cs="Times New Roman"/>
          <w:sz w:val="20"/>
          <w:szCs w:val="20"/>
        </w:rPr>
        <w:t xml:space="preserve">) and fuel flow (</w:t>
      </w:r>
      <ns1:oMath>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0.980</ns1:t>
        </ns1:r>
      </ns1:oMath>
      <w:r>
        <w:rPr>
          <w:rFonts w:ascii="Times New Roman" w:hAnsi="Times New Roman" w:eastAsia="Times New Roman" w:cs="Times New Roman"/>
          <w:sz w:val="20"/>
          <w:szCs w:val="20"/>
        </w:rPr>
        <w:t xml:space="preserve">), confirming pressure–combustion coupling during load following. The MW04–MW06 controller exports analyzed below provide the separate execution evidence at 480.7–629.7 MW (72.8–95.4% of nameplate power). Taken together, the two record types span measured operation from 195.7 to 629.7 MW (29.7–95.4% of nameplate), but they do not constitute continuous controller-internal performance validation at every load through 660 MW.</w:t>
      </w:r>
    </w:p>
    <w:p>
      <w:pPr>
        <w:pStyle w:val="3"/>
        <w:jc w:val="left"/>
        <w:ind w:firstLine="420"/>
      </w:pPr>
      <w:r>
        <w:rPr>
          <w:rFonts w:ascii="Times New Roman" w:hAnsi="Times New Roman" w:eastAsia="Times New Roman" w:cs="Times New Roman"/>
          <w:sz w:val="20"/>
          <w:szCs w:val="20"/>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300 s historian records from 2024–2025 and 25 June–5 July 2026. Candidate two-hour windows contain 24 consecutive samples, advance every 30 min, and retain only load in 195–700 MW with finite pressure, setpoint, and fuel-flow values. A global linear-assignment step forms one-to-one pairs without replacement using mean-load difference, 24-point load-profile RMSE, load-range difference, and fuel/load difference. Calipers are 10, 30, and 40 MW and 0.08, respectively. This protocol yields 512 pairs from 14,675 pre-retrofit and 517 post-retrofit candidates. Median mean-load difference is 1.32 MW and median profile RMSE is 15.37 MW. Cohort median pressure-residual standard deviation decreases from 0.523 to 0.502 MPa (3.93%), whereas median absolute-error p95 is essentially unchanged (1.082 versus 1.085 MPa). Because the windows overlap, these cohort quantities and the post-day cluster bootstrap reported in the Supplemental Material are descriptive rather than independent-sample inference. 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native-5 s load-matched diagnostic, not a selected member of the 300 s cohort; its source timestamps and metric JSON are preserved independently in the evidence package. Concurrent routine maintenance also means that the response comparison is observational evidence associated with the documented retrofit, not a standalone causal estimate.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72" name="Picture"/>
            <ns3:graphic>
              <ns3:graphicData uri="http://schemas.openxmlformats.org/drawingml/2006/picture">
                <ns4:pic>
                  <ns4:nvPicPr>
                    <ns4:cNvPr descr="figures/Figure_10_production_retrofit_evidence.png" id="73" name="Picture"/>
                    <ns4:cNvPicPr>
                      <ns3:picLocks noChangeArrowheads="1" noChangeAspect="1"/>
                    </ns4:cNvPicPr>
                  </ns4:nvPicPr>
                  <ns4:blipFill>
                    <ns3:blip ns5:embed="rId71"/>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7. </w:t>
      </w:r>
      <w:r>
        <w:rPr>
          <w:rFonts w:ascii="Times New Roman" w:hAnsi="Times New Roman" w:eastAsia="Times New Roman" w:cs="Times New Roman"/>
          <w:sz w:val="20"/>
          <w:szCs w:val="20"/>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active-power trajectories used for matching; the mean-load difference is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-0.72</w:t>
      </w:r>
      <w:r>
        <w:rPr>
          <w:rFonts w:ascii="Times New Roman" w:hAnsi="Times New Roman" w:eastAsia="Times New Roman" w:cs="Times New Roman"/>
          <w:sz w:val="20"/>
          <w:szCs w:val="20"/>
        </w:rPr>
        <w:t xml:space="preserve"> MW and the load-profile RMSE is 10.7 MW.</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Main-steam pressure and the sliding-pressure setpoint.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tracking error,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t</ns1:t>
            </ns1:r>
          </ns1:sub>
        </ns1:sSub>
      </ns1:oMath>
      <w:r>
        <w:rPr>
          <w:rFonts w:ascii="Times New Roman" w:hAnsi="Times New Roman" w:eastAsia="Times New Roman" w:cs="Times New Roman"/>
          <w:sz w:val="20"/>
          <w:szCs w:val="20"/>
        </w:rPr>
        <w:t xml:space="preserve">; the sample-level standard deviation decreases from 0.375 to 0.156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Fuel/load distribution for the combustion-side operating context; boxes show median, IQR, and 1.5</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76" name="Picture"/>
            <ns3:graphic>
              <ns3:graphicData uri="http://schemas.openxmlformats.org/drawingml/2006/picture">
                <ns4:pic>
                  <ns4:nvPicPr>
                    <ns4:cNvPr descr="figures/Figure_11_controller_log_validation.png" id="77" name="Picture"/>
                    <ns4:cNvPicPr>
                      <ns3:picLocks noChangeArrowheads="1" noChangeAspect="1"/>
                    </ns4:cNvPicPr>
                  </ns4:nvPicPr>
                  <ns4:blipFill>
                    <ns3:blip ns5:embed="rId75"/>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8. </w:t>
      </w:r>
      <w:r>
        <w:rPr>
          <w:rFonts w:ascii="Times New Roman" w:hAnsi="Times New Roman" w:eastAsia="Times New Roman" w:cs="Times New Roman"/>
          <w:sz w:val="20"/>
          <w:szCs w:val="20"/>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 power; the shaded band denotes 70–100% of the 660 MW nameplate rating.</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MW power band. Cell shading is normalized within each column; annotations retain physical units.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43</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records. In those 43 records, the original pressure-low HOCBF row has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sSub>
          <ns1:e>
            <ns1:r>
              <w:rPr>
                <w:rFonts w:ascii="Times New Roman" w:hAnsi="Times New Roman" w:eastAsia="Times New Roman" w:cs="Times New Roman"/>
              </w:rPr>
              <ns1:t>G</ns1:t>
            </ns1:r>
          </ns1:e>
          <ns1:sub>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0.03266</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0.00561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while the directly measured margin remains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2.21654</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2.36306</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p>
    <w:p>
      <w:pPr>
        <w:jc w:val="left"/>
        <w:spacing w:before="80" w:after="120"/>
        <w:keepLines/>
      </w:pPr>
      <w:r>
        <w:rPr>
          <w:rFonts w:ascii="Times New Roman" w:hAnsi="Times New Roman" w:eastAsia="Times New Roman" w:cs="Times New Roman"/>
          <w:sz w:val="20"/>
          <w:szCs w:val="20"/>
          <w:b/>
          <w:bCs/>
        </w:rPr>
        <w:t xml:space="preserve">Table 4. </w:t>
      </w:r>
      <w:r>
        <w:rPr>
          <w:rFonts w:ascii="Times New Roman" w:hAnsi="Times New Roman" w:eastAsia="Times New Roman" w:cs="Times New Roman"/>
          <w:sz w:val="20"/>
          <w:szCs w:val="20"/>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i</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S</ns1:t>
        </ns1:r>
        <ns1:r>
          <w:rPr>
            <w:rFonts w:ascii="Times New Roman" w:hAnsi="Times New Roman" w:eastAsia="Times New Roman" w:cs="Times New Roman"/>
          </w:rPr>
          <ns1:t>T</ns1:t>
        </ns1:r>
        <ns1:r>
          <ns1:rPr>
            <ns1:sty ns1:val="p"/>
          </ns1:rPr>
          <w:rPr>
            <w:rFonts w:ascii="Times New Roman" w:hAnsi="Times New Roman" w:eastAsia="Times New Roman" w:cs="Times New Roman"/>
          </w:rPr>
          <ns1:t>_</ns1:t>
        </ns1:r>
        <ns1:r>
          <w:rPr>
            <w:rFonts w:ascii="Times New Roman" w:hAnsi="Times New Roman" w:eastAsia="Times New Roman" w:cs="Times New Roman"/>
          </w:rPr>
          <ns1:t>H</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b>
        </ns1:sSub>
      </ns1: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main-steam-pressure replay bound rather than a separator-pressure limit.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status column denotes no reduced-QP recovery and no saturation flag.</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in the status column denotes no reduced-QP recovery and no saturation fla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800"/>
        <w:gridCol w:w="1350"/>
        <w:gridCol w:w="1100"/>
        <w:gridCol w:w="950"/>
        <w:gridCol w:w="950"/>
        <w:gridCol w:w="950"/>
        <w:gridCol w:w="1450"/>
        <w:gridCol w:w="950"/>
      </w:tblGrid>
      <w:tr>
        <w:trPr>
          <w:tblHeader w:val="on"/>
          <w:cantSplit/>
        </w:trPr>
        <w:tc>
          <w:tcPr>
            <w:tcW w:w="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3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Local time</w:t>
            </w:r>
          </w:p>
        </w:tc>
        <w:tc>
          <w:tcPr>
            <w:tcW w:w="11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Load (MW)</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i</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h</ns1:t>
              </ns1:r>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margin (kJ/kg)</w:t>
            </w:r>
          </w:p>
        </w:tc>
        <w:tc>
          <w:tcPr>
            <w:tcW w:w="14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QP/recovery status</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QP/task p95 (ms)</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MW04</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29 Jun 2026 19:00–20:59:55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563.0–621.2</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2.217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2.173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62.284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1397 optimal; 43 recovered; 1 fuel-sat.</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4.195 / 26.238</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MW05</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30 Jun 2026 14:00–15:59:55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547.9–629.7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3.438</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1.483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20.354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1440 optimal; none</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4.074 / 26.139</w:t>
            </w:r>
          </w:p>
        </w:tc>
      </w:tr>
      <w:tr>
        <w:trPr>
          <w:cantSplit/>
        </w:trPr>
        <w:tc>
          <w:tcPr>
            <w:tcW w:w="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MW06</w:t>
            </w:r>
          </w:p>
        </w:tc>
        <w:tc>
          <w:tcPr>
            <w:tcW w:w="13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26 Jun 2026 23:00–00:59:55</w:t>
            </w:r>
          </w:p>
        </w:tc>
        <w:tc>
          <w:tcPr>
            <w:tcW w:w="11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480.7–619.3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2.705</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0.463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0.359</w:t>
            </w:r>
          </w:p>
        </w:tc>
        <w:tc>
          <w:tcPr>
            <w:tcW w:w="14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1440 optimal; none</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4.062 / 26.159</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rPr>
        <w:t>4.6 Stage-Gated Commissioning Protocol</w:t>
      </w:r>
    </w:p>
    <w:p>
      <w:pPr>
        <w:pStyle w:val="11"/>
        <w:jc w:val="left"/>
        <w:ind w:firstLine="420"/>
      </w:pPr>
      <w:r>
        <w:rPr>
          <w:rFonts w:ascii="Times New Roman" w:hAnsi="Times New Roman" w:eastAsia="Times New Roman" w:cs="Times New Roman"/>
          <w:sz w:val="20"/>
          <w:szCs w:val="20"/>
        </w:rPr>
        <w:t xml:space="preserve">RoCBF-SF is intended as 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commissioning-calibrated safety filter</w:t>
      </w:r>
      <w:r>
        <w:rPr>
          <w:rFonts w:ascii="Times New Roman" w:hAnsi="Times New Roman" w:eastAsia="Times New Roman" w:cs="Times New Roman"/>
          <w:sz w:val="20"/>
          <w:szCs w:val="20"/>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rPr>
        <w:t xml:space="preserve">Table 5. </w:t>
      </w:r>
      <w:r>
        <w:rPr>
          <w:rFonts w:ascii="Times New Roman" w:hAnsi="Times New Roman" w:eastAsia="Times New Roman" w:cs="Times New Roman"/>
          <w:sz w:val="20"/>
          <w:szCs w:val="20"/>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200"/>
        <w:gridCol w:w="1700"/>
        <w:gridCol w:w="3400"/>
        <w:gridCol w:w="2200"/>
      </w:tblGrid>
      <w:tr>
        <w:trPr>
          <w:tblHeader w:val="on"/>
          <w:cantSplit/>
        </w:trPr>
        <w:tc>
          <w:tcPr>
            <w:tcW w:w="1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Gate</w:t>
            </w:r>
          </w:p>
        </w:tc>
        <w:tc>
          <w:tcPr>
            <w:tcW w:w="34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Minimum evidence</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Decision rule</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Residual and margin calibration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Use a scenario-specific GP; select the smallest</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Pre-enable validation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Time-isolated replay, protection-limit review, alarm/fallback tests, and coverage across the five fixed load strata</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Enable online authority only after GP, QP, fallback, and alarm logic pass supervised tests.</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Execution logging</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18"/>
                <w:szCs w:val="18"/>
              </w:rPr>
              <w:t xml:space="preserve">, fallback, saturation, and solve time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Treat historian traces as plant-response diagnostics; use controller logs such as Fig. </w:t>
            </w:r>
            <w:r>
              <w:rPr>
                <w:rFonts w:ascii="Times New Roman" w:hAnsi="Times New Roman" w:eastAsia="Times New Roman" w:cs="Times New Roman"/>
                <w:sz w:val="18"/>
                <w:szCs w:val="18"/>
              </w:rPr>
              <w:t xml:space="preserve">8</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support safety-filter execution.</w:t>
            </w:r>
          </w:p>
        </w:tc>
      </w:tr>
      <w:tr>
        <w:trPr>
          <w:cantSplit/>
        </w:trPr>
        <w:tc>
          <w:tcPr>
            <w:tcW w:w="1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and boundary monitoring</w:t>
            </w:r>
          </w:p>
        </w:tc>
        <w:tc>
          <w:tcPr>
            <w:tcW w:w="34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rPr>
        <w:t xml:space="preserve">The seven-state, drift-only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benchmark separates barrier structure, residual learning, and margin selection. Across six mismatch conditions, HOCBF without GP correction records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violating samples. The predeclared calibration rule selects the mean-only endpoint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this RoCBF-SF setting and the NMPC reference each record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in the primary sweep, and the fixed filter setting records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no QP rejection on held-out seeds. The equality with NMPC precludes a claim of universal safety superiority; the practical distinction is the filter’s compatibility with an existing coordinated controller. Conversely, the implemented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endpoint loses feasibility in nearly all mismatch-scenario QPs under the tested actuator limits. The calibrated settings remain finite-sample operating points. The formal forward-invariance result requires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an independently valid simultaneous residual event and compositional derivative bound,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full-row robust-QP feasibility; the implemented multiplier does not establish those conditions by itself.</w:t>
      </w:r>
    </w:p>
    <w:p>
      <w:pPr>
        <w:pStyle w:val="3"/>
        <w:jc w:val="left"/>
        <w:ind w:firstLine="420"/>
      </w:pPr>
      <w:r>
        <w:rPr>
          <w:rFonts w:ascii="Times New Roman" w:hAnsi="Times New Roman" w:eastAsia="Times New Roman" w:cs="Times New Roman"/>
          <w:sz w:val="20"/>
          <w:szCs w:val="20"/>
        </w:rPr>
        <w:t xml:space="preserve">Plant historian and controller records provide complementary measured-operation evidence. The 512-pair historian cohort shows only a small median pressure-dispersion change with a broad post-day cluster-bootstrap interval, whereas the separate native-5 s pair shows a larger response change under comparable load movement. Both are observational because routine maintenance accompanied the retrofit.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excluded from the full-row certificate claim.</w:t>
      </w:r>
    </w:p>
    <w:p>
      <w:pPr>
        <w:pStyle w:val="3"/>
        <w:jc w:val="left"/>
        <w:ind w:firstLine="420"/>
      </w:pPr>
      <w:r>
        <w:rPr>
          <w:rFonts w:ascii="Times New Roman" w:hAnsi="Times New Roman" w:eastAsia="Times New Roman" w:cs="Times New Roman"/>
          <w:sz w:val="20"/>
          <w:szCs w:val="20"/>
        </w:rPr>
        <w:t xml:space="preserve">Future work should extend time-separated commissioning coverage, evaluate actuator-gain uncertainty beyond the current</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L Wu, L Huang, Y Wang, B Jiang, D Li.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Y W Feng, Y H Li.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 D Ames, S Coogan, M Egerstedt, G Notomista, K Sreenath, P Tabuada.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W Xiao, C Belta, C G Cassandras.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C E Rasmussen, C K I Williams. Gaussian processes for machine learning. MIT Press; 2006.</w:t>
      </w:r>
    </w:p>
    <w:p>
      <w:pPr>
        <w:pStyle w:val="18"/>
        <w:jc w:val="left"/>
        <w:ind w:left="360" w:hanging="360"/>
      </w:pPr>
      <w:r>
        <w:rPr>
          <w:rFonts w:ascii="Times New Roman" w:hAnsi="Times New Roman" w:eastAsia="Times New Roman" w:cs="Times New Roman"/>
          <w:sz w:val="20"/>
          <w:szCs w:val="20"/>
        </w:rPr>
        <w:t>[6] N Srinivas, A Krause, S M Kakade, M W Seeger.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R Cheng, G Orosz, R M Murray, J W Burdick.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J F Fisac, A K Akametalu, M N Zeilinger, S Kaynama, J Gillula, C J Tomlin.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F Castañeda, J J Choi, B Zhang, C J Tomlin, K Sreenath.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M Aali, J Liu.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Y Zhang, L Wen, Z Bing, X Yao, L Kong, W He, A Knoll.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K J Åström, R D Bell.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S Y Li, H B Liu, W J Cai, Y C Soh, L H Xie.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W Tan, J Z Liu, F Fang.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X Liu, P Guan, C W Chan.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M A Abdelbaky, X Liu, X Kong.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J Z Liu, D L Zeng, L Tian, M M Gao, W Wang, Y G Niu, F Fang.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S J Qin, T A Badgwell.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D Q Mayne, J B Rawlings, C V Rao, P O M Scokaert.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 Morari, J H Lee.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D Q Mayne, M M Seron, S V Raković.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A Mesbah.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L Hewing, J Kabzan, M N Zeilinger.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P Wieland, F Allgöwer.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M Jankovic.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A J Taylor, A Singletary, Y Yue, A D Ames.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Q Long, Y T Wang, J Pan.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J Zeng, B Zhang, Z Li, K Sreenath.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 Agrawal, K Sreenath.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A J Taylor, V D Dorobantu, R K Cosner, Y Yue, A D Ames.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R K Cosner, Y Yue, A D Ames.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A Lederer, J Umlauft, S Hirche.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 Alburayt, W P Syam.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S R Chowdhury, A Gopalan.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61" Target="media/rId61.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