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71.png" ContentType="image/png"/>
  <ns0:Override PartName="/word/media/rId75.png" ContentType="image/png"/>
  <ns0:Override PartName="/word/media/rId56.png" ContentType="image/png"/>
  <ns0:Override PartName="/word/media/rId48.png" ContentType="image/png"/>
  <ns0:Override PartName="/word/media/rId52.png" ContentType="image/png"/>
  <ns0:Override PartName="/word/media/rId67.png" ContentType="image/png"/>
  <ns0:Override PartName="/word/media/rId61.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violating samples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samples from six mismatch scenarios. The predeclared tune/test rule 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resulting GP-mean filter and an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 held-out seeds. By contrast, the implemented full-margin endpoint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highlight w:val="yellow"/>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highlight w:val="yellow"/>
        </w:rPr>
        <w:t>3</w:t>
      </w:r>
      <w:r>
        <w:rPr>
          <w:rFonts w:ascii="Times New Roman" w:hAnsi="Times New Roman" w:eastAsia="Times New Roman" w:cs="Times New Roman"/>
          <w:sz w:val="20"/>
          <w:szCs w:val="20"/>
          <w:highlight w:val="yellow"/>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highlight w:val="yellow"/>
        </w:rPr>
        <w:t xml:space="preserve">Downstream safety-filter architecture for boiler-turbine process 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highlight w:val="yellow"/>
        </w:rPr>
        <w:t xml:space="preserve">Simulation validation and measured-operation evidence.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highlight w:val="yellow"/>
        </w:rPr>
        <w:t>Control barrier functions enforce forward invariance through QP-based control projection</w:t>
      </w:r>
      <w:r>
        <w:rPr>
          <w:rFonts w:ascii="Times New Roman" w:hAnsi="Times New Roman" w:eastAsia="Times New Roman" w:cs="Times New Roman"/>
          <w:sz w:val="20"/>
          <w:szCs w:val="20"/>
          <w:vertAlign w:val="superscript"/>
          <w:highlight w:val="yellow"/>
        </w:rPr>
        <w:t>3,24</w:t>
      </w:r>
      <w:r>
        <w:rPr>
          <w:rFonts w:ascii="Times New Roman" w:hAnsi="Times New Roman" w:eastAsia="Times New Roman" w:cs="Times New Roman"/>
          <w:sz w:val="20"/>
          <w:szCs w:val="20"/>
          <w:highlight w:val="yellow"/>
        </w:rPr>
        <w:t>. HOCBFs extend this idea to high-relative-degree constraints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highlight w:val="yellow"/>
        </w:rPr>
        <w:t>25–27</w:t>
      </w:r>
      <w:r>
        <w:rPr>
          <w:rFonts w:ascii="Times New Roman" w:hAnsi="Times New Roman" w:eastAsia="Times New Roman" w:cs="Times New Roman"/>
          <w:sz w:val="20"/>
          <w:szCs w:val="20"/>
          <w:highlight w:val="yellow"/>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highlight w:val="yellow"/>
        </w:rPr>
        <w:t>28</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highlight w:val="yellow"/>
        </w:rPr>
        <w:t>For high-order constraints, the comparison is narrower. Aali and Liu</w:t>
      </w:r>
      <w:r>
        <w:rPr>
          <w:rFonts w:ascii="Times New Roman" w:hAnsi="Times New Roman" w:eastAsia="Times New Roman" w:cs="Times New Roman"/>
          <w:sz w:val="20"/>
          <w:szCs w:val="20"/>
          <w:vertAlign w:val="superscript"/>
          <w:highlight w:val="yellow"/>
        </w:rPr>
        <w:t>10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highlight w:val="yellow"/>
        </w:rPr>
        <w:t>11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summarizes the overlay architecture. The upstream controller produces a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around the LQR-stabilized equilibrium controller, and the safety filter returns the nearest admissible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Variables and implementation settings used by the RoCBF-SF safety filter in the actuator-augmented CCS benchmark and plant implementation.</w:t>
      </w:r>
    </w:p>
    <w:tbl>
      <w:tblPr>
        <w:tblStyle w:val="Table"/>
        <w:tblW w:type="dxa" w:w="8500"/>
        <w:tblLook w:firstRow="1" w:lastRow="0" w:firstColumn="0" w:lastColumn="0" w:noHBand="0" w:noVBand="0" w:val="0020"/>
        <w:tblCaption w:val="Table 1. Variables and implementation settings used by the RoCBF-SF safety filter in the actuator-augmented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Main-steam pressure limit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highlight w:val="yellow"/>
        </w:rPr>
        <w:t xml:space="preserve">Apply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normalized command deviation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1. </w:t>
      </w:r>
      <w:r>
        <w:rPr>
          <w:rFonts w:ascii="Times New Roman" w:hAnsi="Times New Roman" w:eastAsia="Times New Roman" w:cs="Times New Roman"/>
          <w:sz w:val="20"/>
          <w:szCs w:val="20"/>
          <w:highlight w:val="yellow"/>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sSub>
                      <m:e>
                        <m:d>
                          <m:dPr>
                            <m:begChr m:val="∥"/>
                            <m:sepChr m:val=""/>
                            <m:endChr m:val="∥"/>
                            <m:grow/>
                          </m:dPr>
                          <m:e>
                            <m:f>
                              <m:fPr>
                                <m:type m:val="bar"/>
                              </m:fPr>
                              <m:num>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r>
              <m:rPr>
                <m:sty m:val="p"/>
              </m:rPr>
              <w:rPr>
                <w:rFonts w:ascii="Times New Roman" w:hAnsi="Times New Roman" w:eastAsia="Times New Roman" w:cs="Times New Roman"/>
                <w:highlight w:val="yellow"/>
              </w:rPr>
              <m:t>(</m:t>
            </m:r>
          </m:e>
        </m:nary>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ℓ</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with the empty product equal to one; hence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each implemented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enforced limits are pressure (13–24 MPa), separator enthalpy (2670–2830 kJ/kg), and generator active power around the dispatch target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All six command-level barriers have relative degree two. 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ind w:firstLine="420"/>
      </w:pPr>
      <w:r>
        <w:rPr>
          <w:rFonts w:ascii="Times New Roman" w:hAnsi="Times New Roman" w:eastAsia="Times New Roman" w:cs="Times New Roman"/>
          <w:sz w:val="20"/>
          <w:szCs w:val="20"/>
          <w:highlight w:val="yellow"/>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that controller sampling instant.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violating samples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 margins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violating samples.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