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and calibrated operating points (</w:t>
      </w:r>
      <w:r>
        <w:rPr>
          <w:rFonts w:ascii="Times New Roman" w:hAnsi="Times New Roman" w:eastAsia="Times New Roman" w:cs="Times New Roman"/>
          <w:rStyle w:val="VerbatimChar"/>
          <w:sz w:val="20"/>
          <w:szCs w:val="20"/>
          <w:color w:val="000000"/>
        </w:rPr>
        <w:t xml:space="preserve">epsilon_kappa &lt; 1</w:t>
      </w:r>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constrained NMPC, the tune-selected RoCBF-SF setting, and the full implemented-margin endpoint. Because the predeclared selector chooses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selected row is also the GP-mean-only ablation; we report it once rather than duplicate an identical numerical row.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benchmark tune/test selection, which independently selected the mean-only endpoint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public controller exports confirm the implemented field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 h_m, N_e]</w:t>
      </w:r>
      <w:r>
        <w:rPr>
          <w:rFonts w:ascii="Times New Roman" w:hAnsi="Times New Roman" w:eastAsia="Times New Roman" w:cs="Times New Roman"/>
          <w:sz w:val="20"/>
          <w:szCs w:val="20"/>
          <w:color w:val="000000"/>
        </w:rPr>
        <w:t xml:space="preserve">, for 135 scalar GP fits in total. Clean models have held-out NRMSE of 0.00046--0.00090, 100% empirical interval coverage, 0/2500 observed violations, and no QP rejection at each dictionary size. Under synthetic corruption, the 100- and 250-point dictionaries produce 5.76--20.24% violation and 4.04--8.60% rejection, whereas the 500-point dictionary retains 0/2500 observed violations and no rejection at both tested levels. We therefore use residual error, coverage, and closed-loop feasibility jointly rather than claiming that every corrupted fit fails. The corruption levels are explicitly identified as synthetic fault injection, not plant bad-point rates or a universal robustness bound.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Values from 0 to 0.05 all pass with zero observed violations and no rejected QP, so the smallest-passing rule selects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Held-out seeds 3--4 then give 0/50,000 observed violations and 0/50,000 QP rejections without retuning. Values of 0.2 and above fail the tune-set feasibility gate, and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rejects all 15,000 tune-set QPs. These are finite-sample commissioning outcomes, not a certificate or proof of zero event probability.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residual-rate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O(qN^3)</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selected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whereas the independently calibrated field value is 0.1. The difference is retained because it demonstrates that the rule can select either a mean-only or positive-margin operating point from the local residual and feasibility evidence. The field replay passed the time-isolated validation procedure, while its record-level data remain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-1e-6</w:t>
      </w:r>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The predeclared S3 tune/test procedure selects the smallest passing value,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With this fixed mean-only setting, RoCBF-SF records 0/175,000 observed violations across the nominal case and six mismatch conditions in the primary sweep. Each condition retains its own frozen scenario-specific GP; the controller does not identify the true scenario online. Held-out S3 seeds then record 0/50,000 violations and 0/50,000 QP rejections without retuning. Wilson limits are described only as descriptive Bernoulli-reference values because controller samples are serially correlated. No zero count is presented as proof of zero event probability or as a formal probabilistic guarantee.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 = 1</w:t>
      </w:r>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The benchmark tune/test procedure selects the mean-only endpoint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and the field uses an independently calibrated value of 0.1; both are empirical commissioning operating points rather than certified settings. The method section gives the standard RKHS-form multiplier with explicit residual-norm and noise-scale terms and separately identifies the fixed multiplier used in experiments and deployment as an engineering commissioning rule. The theorem is not invoked for the field value, the finite-rollout calibration results,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The outage included instrument calibration, actuator inspection, combustion-equipment maintenance, and heat-surface cleaning. At the same time, the original PID gains, limits, anti-windup, sliding-pressure curve, coordinated-control logic, and base fuel/feedwater/turbine-valve loops were unchanged; RoCBF-SF was added downstream. The increased air--coal-ratio dispersion is retained and discussed as evidence that the post-retrofit pair was not uniformly easier. We also rebuilt the historian cohort from the source query files: 14,675 eligible pre-retrofit and 517 post-retrofit windows yield 512 one-to-one matches without replacement. The median pressure-error standard deviation changes from 0.523 to 0.502 MPa, but the post-day cluster-bootstrap interval crosses zero; this cohort is therefore used as operating-context consistency evidence rather than as a precise causal effect estimate. The separate native-5 s pair supplies the high-resolution response diagnostic.</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Together, the historian and controller records span measured operation from 195.7 to 629.7 MW (29.7--95.4% of nameplate), substantially extending the earlier 200--350 MW evidence. The original low-to-mid-load records are retained only as historian operating context and are not used to claim controller-internal execution. The new exports establish high-load controller execution, but they do not constitute a high-load pre/post causal-performance comparison. Because the available records do not provide continuous controller-internal validation at every load through 660 MW, the revision describes them as broad low-to-high-load operating evidence rather than complete full-range performance validation.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Delta g = 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text no longer claims novelty for the generic observation that excessive tightening can cause infeasibility. The contribution is stated more narrowly: an overlay safety filter for command-level relative-degree-two boiler--turbine constraints obtained from an actuator-augmented model, GP residual-rate correction in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[p_m,h_m,N_e]</w:t>
      </w:r>
      <w:r>
        <w:rPr>
          <w:rFonts w:ascii="Times New Roman" w:hAnsi="Times New Roman" w:eastAsia="Times New Roman" w:cs="Times New Roman"/>
          <w:sz w:val="20"/>
          <w:szCs w:val="20"/>
          <w:color w:val="000000"/>
        </w:rPr>
        <w:t xml:space="preserve">, uncertainty propagation through the HOCBF chain, and a plant-oriented commissioning/fallback procedure. The requested comparison with GP mean correction without uncertainty propagation is now explicit. The tune-selected mean-only endpoint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records 0/175,000 observed violations in the primary sweep. By contrast, the full implemented-margin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rejects 149,800/150,000 QPs across the six mismatch conditions and consequently reproduces the no-GP count of 65,134/150,000 violating samples. Supplemental Table S2 also reports the intermediate margin candidates used by the tune/test selector. These results do not show that stronger uncertainty tightening is generically safer; they show why the compositional margin must be exposed to feasibility-aware commissioning rather than applied mechanically. The final primary table and numerical comparison are regenerated from the revised seven-state benchmark rather than carried over from the earlier five-state implementation.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Tables 2 and 3;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u</w:t>
      </w:r>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v_prop</w:t>
      </w:r>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The revision also reserves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A_0,b_0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the no-GP nominal ablation, uses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A,b</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consistently for the GP-mean-corrected online rows, and explicitly defines the recursive HOCBF admissible set in Theorem 1. Identity/one/ell ambiguities and equation references were checked, and the compositional margin is presented as a numbered 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0/175,000 observed violations and no solver failure, matching the tune-selected RoCBF-SF row on the reported violation count. The revision therefore does not claim that RoCBF-SF is universally safer than MPC.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25,000/25,000 QPs, reverts to the upstream proposal, and records 9798/25,000 violating samples. Across all six mismatch conditions it rejects 149,800/150,000 QPs. These counts directly connect excessive implemented tightening to actuator-limited infeasibility in the tested benchmark.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
  <dc:creator/>
  <cp:keywords/>
</cp:coreProperties>
</file>