
<file path=[Content_Types].xml><?xml version="1.0" encoding="utf-8"?>
<ns0:Types xmlns:ns0="http://schemas.openxmlformats.org/package/2006/content-types">
  <ns0:Default Extension="xml" ContentType="application/xml"/>
  <ns0:Default Extension="rels" ContentType="application/vnd.openxmlformats-package.relationships+xml"/>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footnotes.xml" ContentType="application/vnd.openxmlformats-officedocument.wordprocessingml.footnotes+xml"/>
  <ns0:Override PartName="/word/media/rId103.png" ContentType="image/png"/>
  <ns0:Override PartName="/word/media/rId142.png" ContentType="image/png"/>
  <ns0:Override PartName="/word/media/rId146.png" ContentType="image/png"/>
  <ns0:Override PartName="/word/media/rId127.png" ContentType="image/png"/>
  <ns0:Override PartName="/word/media/rId119.png" ContentType="image/png"/>
  <ns0:Override PartName="/word/media/rId123.png" ContentType="image/png"/>
  <ns0:Override PartName="/word/media/rId138.png" ContentType="image/png"/>
  <ns0:Override PartName="/word/media/rId132.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keepNext/>
      </w:pPr>
      <w:r>
        <w:rPr>
          <w:rFonts w:ascii="Times New Roman" w:hAnsi="Times New Roman" w:eastAsia="Times New Roman" w:cs="Times New Roman"/>
          <w:sz w:val="24"/>
          <w:szCs w:val="24"/>
          <w:b/>
          <w:bCs/>
          <w:i/>
          <w:iCs/>
        </w:rPr>
        <w:t xml:space="preserve">Abstract</w:t>
      </w:r>
    </w:p>
    <w:p>
      <w:pPr>
        <w:pStyle w:val="Abstract"/>
        <w:jc w:val="left"/>
        <w:widowControl/>
        <w:ind w:firstLine="420"/>
      </w:pPr>
      <w:r>
        <w:rPr>
          <w:rFonts w:ascii="Times New Roman" w:hAnsi="Times New Roman" w:eastAsia="Times New Roman" w:cs="Times New Roman"/>
          <w:sz w:val="20"/>
          <w:szCs w:val="20"/>
          <w:highlight w:val="yellow"/>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HOCBF-without-GP controller samples from six mismatch scenarios exceed at least one prespecified constraint tolerance. The predeclared tune/test rule selects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under the same per-constraint native-unit tolerances, the resulting GP-mean filter and an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on held-out seeds. By contrast, the implemented full-margin endpoint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widowControl/>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keepNext/>
        <w:keepLines/>
      </w:pPr>
      <w:r>
        <w:rPr>
          <w:rFonts w:ascii="Times New Roman" w:hAnsi="Times New Roman" w:eastAsia="Times New Roman" w:cs="Times New Roman"/>
          <w:sz w:val="24"/>
          <w:szCs w:val="24"/>
          <w:color w:val="000000"/>
          <w:b/>
          <w:bCs/>
          <w:i/>
          <w:iCs/>
        </w:rPr>
        <w:t>1 Introduction</w:t>
      </w:r>
    </w:p>
    <w:p>
      <w:pPr>
        <w:jc w:val="left"/>
        <w:spacing w:before="0" w:after="0"/>
        <w:keepNext/>
        <w:keepLines/>
      </w:pPr>
      <w:r>
        <w:rPr>
          <w:rFonts w:ascii="Times New Roman" w:hAnsi="Times New Roman" w:eastAsia="Times New Roman" w:cs="Times New Roman"/>
          <w:sz w:val="20"/>
          <w:szCs w:val="20"/>
          <w:color w:val="000000"/>
          <w:b/>
          <w:bCs/>
          <w:i/>
          <w:iCs/>
        </w:rPr>
        <w:t>1.1 Industrial Measurement and Control Context</w:t>
      </w:r>
    </w:p>
    <w:p>
      <w:pPr>
        <w:pStyle w:val="11"/>
        <w:jc w:val="left"/>
        <w:widowControl/>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widowControl/>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widowControl/>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keepNext/>
        <w:keepLines/>
      </w:pPr>
      <w:r>
        <w:rPr>
          <w:rFonts w:ascii="Times New Roman" w:hAnsi="Times New Roman" w:eastAsia="Times New Roman" w:cs="Times New Roman"/>
          <w:sz w:val="20"/>
          <w:szCs w:val="20"/>
          <w:color w:val="000000"/>
          <w:b/>
          <w:bCs/>
          <w:i/>
          <w:iCs/>
        </w:rPr>
        <w:t>1.2 Safety-Filter View</w:t>
      </w:r>
    </w:p>
    <w:p>
      <w:pPr>
        <w:pStyle w:val="11"/>
        <w:jc w:val="left"/>
        <w:widowControl/>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widowControl/>
        <w:ind w:firstLine="420"/>
      </w:pPr>
      <w:r>
        <w:rPr>
          <w:rFonts w:ascii="Times New Roman" w:hAnsi="Times New Roman" w:eastAsia="Times New Roman" w:cs="Times New Roman"/>
          <w:sz w:val="20"/>
          <w:szCs w:val="20"/>
          <w:highlight w:val="yellow"/>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highlight w:val="yellow"/>
        </w:rPr>
        <w:t>3</w:t>
      </w:r>
      <w:r>
        <w:rPr>
          <w:rFonts w:ascii="Times New Roman" w:hAnsi="Times New Roman" w:eastAsia="Times New Roman" w:cs="Times New Roman"/>
          <w:sz w:val="20"/>
          <w:szCs w:val="20"/>
          <w:highlight w:val="yellow"/>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keepNext/>
        <w:keepLines/>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widowControl/>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widowControl/>
        <w:ind w:firstLine="420"/>
      </w:pPr>
      <w:r>
        <w:rPr>
          <w:rFonts w:ascii="Times New Roman" w:hAnsi="Times New Roman" w:eastAsia="Times New Roman" w:cs="Times New Roman"/>
          <w:sz w:val="20"/>
          <w:szCs w:val="20"/>
          <w:highlight w:val="yellow"/>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The resulting compositional margin is a candidate tightening, not evidence that a positive margin fraction must improve finite-sample safety. Applying the full implemented margin can over-tighten the online QP, reduce actuator authority, or trigger fallback behavior. The unresolved commissioning question is therefore whether any positive fraction of that margin is both necessary and feasible for the observed residual structure; a defensible selector must also be permitted to retain the GP-mean-only endpoint.</w:t>
      </w:r>
    </w:p>
    <w:p>
      <w:pPr>
        <w:pStyle w:val="3"/>
        <w:jc w:val="left"/>
        <w:widowControl/>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keepNext/>
        <w:keepLines/>
      </w:pPr>
      <w:r>
        <w:rPr>
          <w:rFonts w:ascii="Times New Roman" w:hAnsi="Times New Roman" w:eastAsia="Times New Roman" w:cs="Times New Roman"/>
          <w:sz w:val="20"/>
          <w:szCs w:val="20"/>
          <w:color w:val="000000"/>
          <w:b/>
          <w:bCs/>
          <w:i/>
          <w:iCs/>
        </w:rPr>
        <w:t>1.4 Contributions</w:t>
      </w:r>
    </w:p>
    <w:p>
      <w:pPr>
        <w:pStyle w:val="11"/>
        <w:jc w:val="left"/>
        <w:widowControl/>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widowControl/>
      </w:pPr>
      <w:r>
        <w:rPr>
          <w:rFonts w:ascii="Times New Roman" w:hAnsi="Times New Roman" w:eastAsia="Times New Roman" w:cs="Times New Roman"/>
          <w:b/>
          <w:bCs/>
          <w:sz w:val="20"/>
          <w:szCs w:val="20"/>
          <w:highlight w:val="yellow"/>
        </w:rPr>
        <w:t xml:space="preserve">Downstream safety-filter architecture for boiler-turbine process control.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widowControl/>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widowControl/>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that select the smallest setting passing safety and feasibility gates, including the mean-only endpoint when no positive fraction is supported.</w:t>
      </w:r>
    </w:p>
    <w:p>
      <w:pPr>
        <w:numPr>
          <w:ilvl w:val="0"/>
          <w:numId w:val="1001"/>
        </w:numPr>
        <w:jc w:val="left"/>
        <w:widowControl/>
      </w:pPr>
      <w:r>
        <w:rPr>
          <w:rFonts w:ascii="Times New Roman" w:hAnsi="Times New Roman" w:eastAsia="Times New Roman" w:cs="Times New Roman"/>
          <w:b/>
          <w:bCs/>
          <w:sz w:val="20"/>
          <w:szCs w:val="20"/>
          <w:highlight w:val="yellow"/>
        </w:rPr>
        <w:t xml:space="preserve">Simulation validation and measured-operation evidence.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widowControl/>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keepNext/>
        <w:keepLines/>
      </w:pPr>
      <w:r>
        <w:rPr>
          <w:rFonts w:ascii="Times New Roman" w:hAnsi="Times New Roman" w:eastAsia="Times New Roman" w:cs="Times New Roman"/>
          <w:sz w:val="24"/>
          <w:szCs w:val="24"/>
          <w:color w:val="000000"/>
          <w:b/>
          <w:bCs/>
          <w:i/>
          <w:iCs/>
        </w:rPr>
        <w:t>2 Related Work</w:t>
      </w:r>
    </w:p>
    <w:p>
      <w:pPr>
        <w:jc w:val="left"/>
        <w:spacing w:before="0" w:after="0"/>
        <w:keepNext/>
        <w:keepLines/>
      </w:pPr>
      <w:r>
        <w:rPr>
          <w:rFonts w:ascii="Times New Roman" w:hAnsi="Times New Roman" w:eastAsia="Times New Roman" w:cs="Times New Roman"/>
          <w:sz w:val="20"/>
          <w:szCs w:val="20"/>
          <w:color w:val="000000"/>
          <w:b/>
          <w:bCs/>
          <w:i/>
          <w:iCs/>
        </w:rPr>
        <w:t>2.1 Boiler–Turbine Coordinated Control Under Model Mismatch</w:t>
      </w:r>
    </w:p>
    <w:p>
      <w:pPr>
        <w:pStyle w:val="11"/>
        <w:jc w:val="left"/>
        <w:widowControl/>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widowControl/>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keepNext/>
        <w:keepLines/>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widowControl/>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widowControl/>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keepNext/>
        <w:keepLines/>
      </w:pPr>
      <w:r>
        <w:rPr>
          <w:rFonts w:ascii="Times New Roman" w:hAnsi="Times New Roman" w:eastAsia="Times New Roman" w:cs="Times New Roman"/>
          <w:sz w:val="20"/>
          <w:szCs w:val="20"/>
          <w:color w:val="000000"/>
          <w:b/>
          <w:bCs/>
          <w:i/>
          <w:iCs/>
        </w:rPr>
        <w:t>2.3 CBF/HOCBF Under Uncertainty and Feasibility Limits</w:t>
      </w:r>
    </w:p>
    <w:p>
      <w:pPr>
        <w:pStyle w:val="11"/>
        <w:jc w:val="left"/>
        <w:widowControl/>
        <w:ind w:firstLine="420"/>
      </w:pPr>
      <w:r>
        <w:rPr>
          <w:rFonts w:ascii="Times New Roman" w:hAnsi="Times New Roman" w:eastAsia="Times New Roman" w:cs="Times New Roman"/>
          <w:sz w:val="20"/>
          <w:szCs w:val="20"/>
          <w:highlight w:val="yellow"/>
        </w:rPr>
        <w:t>Control barrier functions enforce forward invariance through QP-based control projection</w:t>
      </w:r>
      <w:r>
        <w:rPr>
          <w:rFonts w:ascii="Times New Roman" w:hAnsi="Times New Roman" w:eastAsia="Times New Roman" w:cs="Times New Roman"/>
          <w:sz w:val="20"/>
          <w:szCs w:val="20"/>
          <w:vertAlign w:val="superscript"/>
          <w:highlight w:val="yellow"/>
        </w:rPr>
        <w:t>3,24</w:t>
      </w:r>
      <w:r>
        <w:rPr>
          <w:rFonts w:ascii="Times New Roman" w:hAnsi="Times New Roman" w:eastAsia="Times New Roman" w:cs="Times New Roman"/>
          <w:sz w:val="20"/>
          <w:szCs w:val="20"/>
          <w:highlight w:val="yellow"/>
        </w:rPr>
        <w:t>. HOCBFs extend this idea to high-relative-degree constraints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highlight w:val="yellow"/>
        </w:rPr>
        <w:t>25–27</w:t>
      </w:r>
      <w:r>
        <w:rPr>
          <w:rFonts w:ascii="Times New Roman" w:hAnsi="Times New Roman" w:eastAsia="Times New Roman" w:cs="Times New Roman"/>
          <w:sz w:val="20"/>
          <w:szCs w:val="20"/>
          <w:highlight w:val="yellow"/>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highlight w:val="yellow"/>
        </w:rPr>
        <w:t>28</w:t>
      </w:r>
      <w:r>
        <w:rPr>
          <w:rFonts w:ascii="Times New Roman" w:hAnsi="Times New Roman" w:eastAsia="Times New Roman" w:cs="Times New Roman"/>
          <w:sz w:val="20"/>
          <w:szCs w:val="20"/>
          <w:highlight w:val="yellow"/>
        </w:rPr>
        <w:t xml:space="preserve">.</w:t>
      </w:r>
    </w:p>
    <w:p>
      <w:pPr>
        <w:pStyle w:val="3"/>
        <w:jc w:val="left"/>
        <w:widowControl/>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keepNext/>
        <w:keepLines/>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widowControl/>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widowControl/>
        <w:ind w:firstLine="420"/>
      </w:pPr>
      <w:r>
        <w:rPr>
          <w:rFonts w:ascii="Times New Roman" w:hAnsi="Times New Roman" w:eastAsia="Times New Roman" w:cs="Times New Roman"/>
          <w:sz w:val="20"/>
          <w:szCs w:val="20"/>
          <w:highlight w:val="yellow"/>
        </w:rPr>
        <w:t>For high-order constraints, the comparison is narrower. Aali and Liu</w:t>
      </w:r>
      <w:r>
        <w:rPr>
          <w:rFonts w:ascii="Times New Roman" w:hAnsi="Times New Roman" w:eastAsia="Times New Roman" w:cs="Times New Roman"/>
          <w:sz w:val="20"/>
          <w:szCs w:val="20"/>
          <w:vertAlign w:val="superscript"/>
          <w:highlight w:val="yellow"/>
        </w:rPr>
        <w:t>10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highlight w:val="yellow"/>
        </w:rPr>
        <w:t>11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Because their plants, residual models, online updates, and optimization programs differ from the present setting, a numerical reimplementation would not isolate the source of any performance difference. We instead hold the proposed command fixed and compare no-GP HOCBF, GP-mean-only HOCBF, and the full compositional-margin endpoint within one actuator-limited model.</w:t>
      </w:r>
    </w:p>
    <w:p>
      <w:pPr>
        <w:pStyle w:val="3"/>
        <w:jc w:val="left"/>
        <w:widowControl/>
        <w:ind w:firstLine="420"/>
      </w:pPr>
      <w:r>
        <w:rPr>
          <w:rFonts w:ascii="Times New Roman" w:hAnsi="Times New Roman" w:eastAsia="Times New Roman" w:cs="Times New Roman"/>
          <w:sz w:val="20"/>
          <w:szCs w:val="20"/>
          <w:highlight w:val="yellow"/>
        </w:rPr>
        <w:t xml:space="preserve">Existing robust CBF and GP-CBF formulations also tend to interpret the uncertainty margin as a certificate-driven tightening term. In actuator-limited process-control loops, however, feasibility, fallback activation, and retained control authority are themselves safety-relevant. The contribution here is not the generic observation that tightening can cause infeasibility, nor a claim that positive tightening is always beneficial. It is an explicit chain-level margin for the command-level HOCBF rows, together with a commissioning procedure that may select zero margin when GP mean correction already passes the prespecified safety and feasibility gates.</w:t>
      </w:r>
    </w:p>
    <w:p>
      <w:pPr>
        <w:jc w:val="left"/>
        <w:spacing w:before="0" w:after="0"/>
        <w:keepNext/>
        <w:keepLines/>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keepNext/>
        <w:keepLines/>
      </w:pPr>
      <w:r>
        <w:rPr>
          <w:rFonts w:ascii="Times New Roman" w:hAnsi="Times New Roman" w:eastAsia="Times New Roman" w:cs="Times New Roman"/>
          <w:sz w:val="20"/>
          <w:szCs w:val="20"/>
          <w:color w:val="000000"/>
          <w:b/>
          <w:bCs/>
          <w:i/>
          <w:iCs/>
        </w:rPr>
        <w:t>3.1 Safety-Filter Workflow and Implementation Settings</w:t>
      </w:r>
    </w:p>
    <w:p>
      <w:pPr>
        <w:pStyle w:val="11"/>
        <w:jc w:val="left"/>
        <w:widowControl/>
        <w:ind w:firstLine="420"/>
      </w:pPr>
      <w:r>
        <w:rPr>
          <w:rFonts w:ascii="Times New Roman" w:hAnsi="Times New Roman" w:eastAsia="Times New Roman" w:cs="Times New Roman"/>
          <w:sz w:val="20"/>
          <w:szCs w:val="20"/>
          <w:highlight w:val="yellow"/>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summarizes the overlay architecture. The upstream controller produces a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around the LQR-stabilized equilibrium controller, and the safety filter returns the nearest admissible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normalized deviation command satisfies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With the physical per-cycle command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widowControl/>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exp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highlight w:val="yellow"/>
                      </w:rPr>
                      <m:t>ξ</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widowControl/>
        <w:ind w:firstLine="420"/>
      </w:pPr>
      <w:r>
        <w:rPr>
          <w:rFonts w:ascii="Times New Roman" w:hAnsi="Times New Roman" w:eastAsia="Times New Roman" w:cs="Times New Roman"/>
          <w:sz w:val="20"/>
          <w:szCs w:val="20"/>
          <w:highlight w:val="yellow"/>
        </w:rPr>
        <w:t xml:space="preserve">Its forward-Euler update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widowControl/>
        <w:spacing w:before="80" w:after="120"/>
        <w:keepNext/>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Physical commands are reconstructed from normalized</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18"/>
                <w:szCs w:val="18"/>
                <w:highlight w:val="yellow"/>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pressure constraint</w:t>
            </w:r>
          </w:p>
        </w:tc>
        <w:tc>
          <w:tcPr>
            <w:tcW w:w="2200" w:type="dxa"/>
            <w:tcBorders>
              <w:top w:val="nil"/>
              <w:bottom w:val="nil"/>
              <w:left w:val="nil"/>
              <w:right w:val="nil"/>
              <w:insideH w:val="nil"/>
              <w:insideV w:val="nil"/>
            </w:tcBorders>
          </w:tcPr>
          <w:p>
            <w:pPr>
              <w:pStyle w:val="13"/>
              <w:jc w:val="left"/>
            </w:pP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18"/>
                <w:szCs w:val="18"/>
                <w:highlight w:val="yellow"/>
              </w:rPr>
              <w:t xml:space="preserve"> MPa;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Range 2670–2830 kJ/kg;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Band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18"/>
                <w:szCs w:val="18"/>
                <w:highlight w:val="yellow"/>
              </w:rPr>
              <w:t xml:space="preserve"> MW;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widowControl/>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widowControl/>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highlight w:val="yellow"/>
        </w:rPr>
        <w:t xml:space="preserve">Build the mean-corrected command-level relative-degree-two HOCBF constraints.</w:t>
      </w:r>
    </w:p>
    <w:p>
      <w:pPr>
        <w:numPr>
          <w:ilvl w:val="0"/>
          <w:numId w:val="1002"/>
        </w:numPr>
        <w:jc w:val="left"/>
        <w:widowControl/>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widowControl/>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widowControl/>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widowControl/>
      </w:pPr>
      <w:r>
        <w:rPr>
          <w:rFonts w:ascii="Times New Roman" w:hAnsi="Times New Roman" w:eastAsia="Times New Roman" w:cs="Times New Roman"/>
          <w:sz w:val="20"/>
          <w:szCs w:val="20"/>
          <w:highlight w:val="yellow"/>
        </w:rPr>
        <w:t xml:space="preserve">Apply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log intervention, feasibility, and margin diagnostics.</w:t>
      </w:r>
    </w:p>
    <w:p>
      <w:pPr>
        <w:pStyle w:val="11"/>
        <w:jc w:val="left"/>
        <w:widowControl/>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normalized command deviation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command. The GP-mean-corrected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reserved for the no-GP nominal-model ablation.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widowControl/>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widowControl/>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seven states and all three command deviations; commands are therefore represented in the nominal prediction but are not direct kernel inputs.</w:t>
      </w:r>
    </w:p>
    <w:p>
      <w:pPr>
        <w:pStyle w:val="3"/>
        <w:jc w:val="left"/>
        <w:widowControl/>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 The selector is allowed to return zero when no positive margin fraction improves the prespecified safety and QP-feasibility gates.</w:t>
      </w:r>
    </w:p>
    <w:p>
      <w:pPr>
        <w:jc w:val="left"/>
        <w:spacing w:before="0" w:after="0"/>
        <w:keepNext/>
        <w:keepLines/>
      </w:pPr>
      <w:r>
        <w:rPr>
          <w:rFonts w:ascii="Times New Roman" w:hAnsi="Times New Roman" w:eastAsia="Times New Roman" w:cs="Times New Roman"/>
          <w:sz w:val="20"/>
          <w:szCs w:val="20"/>
          <w:color w:val="000000"/>
          <w:b/>
          <w:bCs/>
          <w:i/>
          <w:iCs/>
        </w:rPr>
        <w:t>3.2 Mismatch Model and HOCBF Constraints</w:t>
      </w:r>
    </w:p>
    <w:p>
      <w:pPr>
        <w:pStyle w:val="11"/>
        <w:jc w:val="left"/>
        <w:widowControl/>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widowControl/>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widowControl/>
        <w:ind w:firstLine="420"/>
      </w:pPr>
      <w:r>
        <w:rPr>
          <w:rFonts w:ascii="Times New Roman" w:hAnsi="Times New Roman" w:eastAsia="Times New Roman" w:cs="Times New Roman"/>
          <w:sz w:val="20"/>
          <w:szCs w:val="20"/>
          <w:highlight w:val="yellow"/>
        </w:rPr>
        <w:t xml:space="preserve">The benchmark pressure output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0.13</m:t>
        </m:r>
        <m:sSubSup>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0.882</m:t>
            </m:r>
          </m:sup>
        </m:sSubSup>
      </m:oMath>
      <w:r>
        <w:rPr>
          <w:rFonts w:ascii="Times New Roman" w:hAnsi="Times New Roman" w:eastAsia="Times New Roman" w:cs="Times New Roman"/>
          <w:sz w:val="20"/>
          <w:szCs w:val="20"/>
          <w:highlight w:val="yellow"/>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2670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2830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widowControl/>
        <w:ind w:firstLine="420"/>
      </w:pPr>
      <w:r>
        <w:rPr>
          <w:rFonts w:ascii="Times New Roman" w:hAnsi="Times New Roman" w:eastAsia="Times New Roman" w:cs="Times New Roman"/>
          <w:sz w:val="20"/>
          <w:szCs w:val="20"/>
          <w:highlight w:val="yellow"/>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widowControl/>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widowControl/>
        <w:ind w:firstLine="420"/>
      </w:pPr>
      <w:r>
        <w:rPr>
          <w:rFonts w:ascii="Times New Roman" w:hAnsi="Times New Roman" w:eastAsia="Times New Roman" w:cs="Times New Roman"/>
          <w:sz w:val="20"/>
          <w:szCs w:val="20"/>
          <w:highlight w:val="yellow"/>
        </w:rPr>
        <w:t xml:space="preserve">For the six barriers indexed by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c</m:t>
        </m:r>
      </m:oMath>
      <w:r>
        <w:rPr>
          <w:rFonts w:ascii="Times New Roman" w:hAnsi="Times New Roman" w:eastAsia="Times New Roman" w:cs="Times New Roman"/>
          <w:sz w:val="20"/>
          <w:szCs w:val="20"/>
          <w:highlight w:val="yellow"/>
        </w:rPr>
        <w:t xml:space="preserve">, with relative degree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oMath>
      <w:r>
        <w:rPr>
          <w:rFonts w:ascii="Times New Roman" w:hAnsi="Times New Roman" w:eastAsia="Times New Roman" w:cs="Times New Roman"/>
          <w:sz w:val="20"/>
          <w:szCs w:val="20"/>
          <w:highlight w:val="yellow"/>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m:rPr>
                    <m:scr m:val="script"/>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limLow>
                  <m:e>
                    <m:limUpp>
                      <m:e>
                        <m:r>
                          <m:rPr>
                            <m:sty m:val="p"/>
                          </m:rPr>
                          <w:rPr>
                            <w:rFonts w:ascii="Times New Roman" w:hAnsi="Times New Roman" w:eastAsia="Times New Roman" w:cs="Times New Roman"/>
                            <w:highlight w:val="yellow"/>
                          </w:rPr>
                          <m:t>⋂</m:t>
                        </m:r>
                      </m:e>
                      <m:lim>
                        <m:r>
                          <w:rPr>
                            <w:rFonts w:ascii="Times New Roman" w:hAnsi="Times New Roman" w:eastAsia="Times New Roman" w:cs="Times New Roman"/>
                            <w:highlight w:val="yellow"/>
                          </w:rPr>
                          <m:t>6</m:t>
                        </m:r>
                      </m:lim>
                    </m:limUpp>
                  </m:e>
                  <m:lim>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Low>
                <m:limLow>
                  <m:e>
                    <m:limUpp>
                      <m:e>
                        <m:r>
                          <m:rPr>
                            <m:sty m:val="p"/>
                          </m:rPr>
                          <w:rPr>
                            <w:rFonts w:ascii="Times New Roman" w:hAnsi="Times New Roman" w:eastAsia="Times New Roman" w:cs="Times New Roman"/>
                            <w:highlight w:val="yellow"/>
                          </w:rPr>
                          <m:t>⋂</m:t>
                        </m:r>
                      </m:e>
                      <m:lim>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Upp>
                  </m:e>
                  <m:lim>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lim>
                </m:limLow>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widowControl/>
        <w:ind w:firstLine="420"/>
      </w:pPr>
      <w:r>
        <w:rPr>
          <w:rFonts w:ascii="Times New Roman" w:hAnsi="Times New Roman" w:eastAsia="Times New Roman" w:cs="Times New Roman"/>
          <w:sz w:val="20"/>
          <w:szCs w:val="20"/>
          <w:highlight w:val="yellow"/>
        </w:rPr>
        <w:t xml:space="preserve">With linear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α</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substituting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into the stabilized model gives a top-level affine row. For the GP-mean-corrected drift</w:t>
      </w:r>
      <w:r>
        <w:rPr>
          <w:rFonts w:ascii="Times New Roman" w:hAnsi="Times New Roman" w:eastAsia="Times New Roman" w:cs="Times New Roman"/>
          <w:sz w:val="20"/>
          <w:szCs w:val="20"/>
          <w:highlight w:val="yellow"/>
        </w:rPr>
        <w:t xml:space="preserve"> </w:t>
      </w:r>
      <m:oMath>
        <m:acc>
          <m:accPr>
            <m:chr m:val="̂"/>
          </m:accPr>
          <m:e>
            <m:r>
              <w:rPr>
                <w:rFonts w:ascii="Times New Roman" w:hAnsi="Times New Roman" w:eastAsia="Times New Roman" w:cs="Times New Roman"/>
                <w:highlight w:val="yellow"/>
              </w:rPr>
              <m:t>f</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this row is defined by</w:t>
      </w:r>
      <w:r>
        <w:rPr>
          <w:rFonts w:ascii="Times New Roman" w:hAnsi="Times New Roman" w:eastAsia="Times New Roman" w:cs="Times New Roman"/>
          <w:sz w:val="20"/>
          <w:szCs w:val="20"/>
          <w:highlight w:val="yellow"/>
        </w:rPr>
        <w:t xml:space="preserve"> </w:t>
      </w:r>
      <m:oMath>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is stacked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Applying the same construction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 GP correction gives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104" name="Picture"/>
            <ns3:graphic>
              <ns3:graphicData uri="http://schemas.openxmlformats.org/drawingml/2006/picture">
                <ns4:pic>
                  <ns4:nvPicPr>
                    <ns4:cNvPr descr="figures/Figure_1.png" id="105" name="Picture"/>
                    <ns4:cNvPicPr>
                      <ns3:picLocks noChangeArrowheads="1" noChangeAspect="1"/>
                    </ns4:cNvPicPr>
                  </ns4:nvPicPr>
                  <ns4:blipFill>
                    <ns3:blip ns5:embed="rId103"/>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1. </w:t>
      </w:r>
      <w:r>
        <w:rPr>
          <w:rFonts w:ascii="Times New Roman" w:hAnsi="Times New Roman" w:eastAsia="Times New Roman" w:cs="Times New Roman"/>
          <w:sz w:val="20"/>
          <w:szCs w:val="20"/>
          <w:highlight w:val="yellow"/>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physical command is reconstructed with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pStyle w:val="3"/>
        <w:jc w:val="left"/>
        <w:widowControl/>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keepNext/>
        <w:keepLines/>
      </w:pPr>
      <w:r>
        <w:rPr>
          <w:rFonts w:ascii="Times New Roman" w:hAnsi="Times New Roman" w:eastAsia="Times New Roman" w:cs="Times New Roman"/>
          <w:sz w:val="20"/>
          <w:szCs w:val="20"/>
          <w:color w:val="000000"/>
          <w:b/>
          <w:bCs/>
          <w:i/>
          <w:iCs/>
        </w:rPr>
        <w:t>3.3 GP Residual Correction and Compositional Margin</w:t>
      </w:r>
    </w:p>
    <w:p>
      <w:pPr>
        <w:pStyle w:val="11"/>
        <w:jc w:val="left"/>
        <w:widowControl/>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widowControl/>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(9)</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widowControl/>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widowControl/>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widowControl/>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widowControl/>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widowControl/>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
                    </m:r>
                  </m:sup>
                  <m:e>
                    <m:sSub>
                      <m:e>
                        <m:d>
                          <m:dPr>
                            <m:begChr m:val="∥"/>
                            <m:sepChr m:val=""/>
                            <m:endChr m:val="∥"/>
                            <m:grow/>
                          </m:dPr>
                          <m:e>
                            <m:f>
                              <m:fPr>
                                <m:type m:val="bar"/>
                              </m:fPr>
                              <m:num>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sub>
                                </m:sSub>
                                <m:sSubSup>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bSup>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num>
                              <m:den>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den>
                            </m:f>
                          </m:e>
                        </m:d>
                      </m:e>
                      <m:sub>
                        <m:r>
                          <w:rPr>
                            <w:rFonts w:ascii="Times New Roman" w:hAnsi="Times New Roman" w:eastAsia="Times New Roman" w:cs="Times New Roman"/>
                            <w:highlight w:val="yellow"/>
                          </w:rPr>
                          <m:t>2</m:t>
                        </m:r>
                      </m:sub>
                    </m:sSub>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widowControl/>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0</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sup</m:t>
            </m:r>
          </m:e>
          <m: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3</m:t>
            </m:r>
          </m:e>
        </m:rad>
      </m:oMath>
      <w:r>
        <w:rPr>
          <w:rFonts w:ascii="Times New Roman" w:hAnsi="Times New Roman" w:eastAsia="Times New Roman" w:cs="Times New Roman"/>
          <w:sz w:val="20"/>
          <w:szCs w:val="20"/>
          <w:highlight w:val="yellow"/>
        </w:rPr>
        <w:t xml:space="preserve">. The chain weights are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ary>
          <m:naryPr>
            <m:chr m:val="∏"/>
            <m:limLoc m:val="undOvr"/>
            <m:subHide m:val="off"/>
            <m:supHide m:val="off"/>
          </m:naryPr>
          <m:sub>
            <m:r>
              <w:rPr>
                <w:rFonts w:ascii="Times New Roman" w:hAnsi="Times New Roman" w:eastAsia="Times New Roman" w:cs="Times New Roman"/>
                <w:highlight w:val="yellow"/>
              </w:rPr>
              <m:t>ℓ</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e>
            <m:r>
              <m:rPr>
                <m:sty m:val="p"/>
              </m:rPr>
              <w:rPr>
                <w:rFonts w:ascii="Times New Roman" w:hAnsi="Times New Roman" w:eastAsia="Times New Roman" w:cs="Times New Roman"/>
                <w:highlight w:val="yellow"/>
              </w:rPr>
              <m:t>(</m:t>
            </m:r>
          </m:e>
        </m:nary>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ℓ</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with the empty product equal to one; hence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each implemented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barrier. The resulting mean-corrected HOCBF constraint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p>
    <w:p>
      <w:pPr>
        <w:jc w:val="left"/>
        <w:spacing w:before="0" w:after="0"/>
        <w:keepNext/>
        <w:keepLines/>
      </w:pPr>
      <w:r>
        <w:rPr>
          <w:rFonts w:ascii="Times New Roman" w:hAnsi="Times New Roman" w:eastAsia="Times New Roman" w:cs="Times New Roman"/>
          <w:sz w:val="20"/>
          <w:szCs w:val="20"/>
          <w:color w:val="000000"/>
          <w:b/>
          <w:bCs/>
          <w:i/>
          <w:iCs/>
        </w:rPr>
        <w:t>3.4 Commissioning Factor and Implementation Boundary</w:t>
      </w:r>
    </w:p>
    <w:p>
      <w:pPr>
        <w:pStyle w:val="11"/>
        <w:jc w:val="left"/>
        <w:widowControl/>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full-row QP has a unique solution whose feedback selection is locally Lipschitz on the certified set, so the closed-loop differential equation admits a unique Carathéodory solution.</w:t>
      </w:r>
    </w:p>
    <w:p>
      <w:pPr>
        <w:pStyle w:val="3"/>
        <w:jc w:val="left"/>
        <w:widowControl/>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(9)</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oMath>
      <w:r>
        <w:rPr>
          <w:rFonts w:ascii="Times New Roman" w:hAnsi="Times New Roman" w:eastAsia="Times New Roman" w:cs="Times New Roman"/>
          <w:i/>
          <w:iCs/>
          <w:sz w:val="20"/>
          <w:szCs w:val="20"/>
          <w:highlight w:val="yellow"/>
        </w:rPr>
        <w:t xml:space="preserve">, 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widowControl/>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(12)</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widowControl/>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widowControl/>
        <w:ind w:firstLine="420"/>
      </w:pPr>
      <w:r>
        <w:rPr>
          <w:rFonts w:ascii="Times New Roman" w:hAnsi="Times New Roman" w:eastAsia="Times New Roman" w:cs="Times New Roman"/>
          <w:b/>
          <w:bCs/>
          <w:sz w:val="20"/>
          <w:szCs w:val="20"/>
          <w:highlight w:val="yellow"/>
        </w:rPr>
        <w:t xml:space="preserve">Theorem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(Conditional probabilistic forward invariance).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Let</w:t>
      </w:r>
      <w:r>
        <w:rPr>
          <w:rFonts w:ascii="Times New Roman" w:hAnsi="Times New Roman" w:eastAsia="Times New Roman" w:cs="Times New Roman"/>
          <w:i/>
          <w:iCs/>
          <w:sz w:val="20"/>
          <w:szCs w:val="20"/>
          <w:highlight w:val="yellow"/>
        </w:rPr>
        <w:t xml:space="preserve"> </w:t>
      </w:r>
      <m:oMath>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denote the induced top-level HOCBF residual after substituting the deviation-input model. If</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then, under Assumptions </w:t>
      </w:r>
      <w:r>
        <w:rPr>
          <w:rFonts w:ascii="Times New Roman" w:hAnsi="Times New Roman" w:eastAsia="Times New Roman" w:cs="Times New Roman"/>
          <w:i/>
          <w:iCs/>
          <w:sz w:val="20"/>
          <w:szCs w:val="20"/>
          <w:highlight w:val="yellow"/>
        </w:rPr>
        <w:t xml:space="preserve">1</w:t>
      </w:r>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4</w:t>
      </w:r>
      <w:r>
        <w:rPr>
          <w:rFonts w:ascii="Times New Roman" w:hAnsi="Times New Roman" w:eastAsia="Times New Roman" w:cs="Times New Roman"/>
          <w:i/>
          <w:iCs/>
          <w:sz w:val="20"/>
          <w:szCs w:val="20"/>
          <w:highlight w:val="yellow"/>
        </w:rPr>
        <w:t xml:space="preserve">, the QP in Eq.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renders the set</w:t>
      </w:r>
      <w:r>
        <w:rPr>
          <w:rFonts w:ascii="Times New Roman" w:hAnsi="Times New Roman" w:eastAsia="Times New Roman" w:cs="Times New Roman"/>
          <w:i/>
          <w:iCs/>
          <w:sz w:val="20"/>
          <w:szCs w:val="20"/>
          <w:highlight w:val="yellow"/>
        </w:rPr>
        <w:t xml:space="preserve"> </w:t>
      </w:r>
      <m:oMath>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in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forward invariant 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w:t>
      </w:r>
    </w:p>
    <w:p>
      <w:pPr>
        <w:pStyle w:val="3"/>
        <w:jc w:val="left"/>
        <w:widowControl/>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widowControl/>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cr m:val="script"/>
            <m:sty m:val="p"/>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widowControl/>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widowControl/>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QP enforces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i.e., the GP-mean-corrected HOCBF constraint without an additional robustness margin. The separate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notation denotes the no-GP ablation.</w:t>
      </w:r>
    </w:p>
    <w:p>
      <w:pPr>
        <w:numPr>
          <w:ilvl w:val="0"/>
          <w:numId w:val="1003"/>
        </w:numPr>
        <w:jc w:val="left"/>
        <w:widowControl/>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widowControl/>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widowControl/>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widowControl/>
        <w:ind w:firstLine="420"/>
      </w:pPr>
      <w:r>
        <w:rPr>
          <w:rFonts w:ascii="Times New Roman" w:hAnsi="Times New Roman" w:eastAsia="Times New Roman" w:cs="Times New Roman"/>
          <w:sz w:val="20"/>
          <w:szCs w:val="20"/>
          <w:highlight w:val="yellow"/>
        </w:rPr>
        <w:t xml:space="preserve">The GP posterior includes a regularization floor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f</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r</m:t>
            </m:r>
          </m:sub>
        </m:sSub>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Under constant perturbations,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nearly uniform, so the margin is floor-driven. Under S3 state-dependent coupling,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becomes heterogeneous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data-driven. The S3 sweep therefore tests whether that heterogeneity makes a positive margin fraction useful. In the present seven-state benchmark it does not: GP mean correction already passes the prespecified safety gate, while positive tightening progressively consumes QP feasibility. The compositional margin remains the explicit candidate tightening and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theorem endpoint; finite-sample commissioning is permitted to select zero.</w:t>
      </w:r>
    </w:p>
    <w:p>
      <w:pPr>
        <w:pStyle w:val="3"/>
        <w:jc w:val="left"/>
        <w:widowControl/>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widowControl/>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partition the intended 180–660 MW commissioning domain; the upper 561–660 MW stratum is a coverage bin and does not imply an exact 660 MW steady hold. Each stratum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widowControl/>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keepNext/>
        <w:keepLines/>
      </w:pPr>
      <w:r>
        <w:rPr>
          <w:rFonts w:ascii="Times New Roman" w:hAnsi="Times New Roman" w:eastAsia="Times New Roman" w:cs="Times New Roman"/>
          <w:sz w:val="24"/>
          <w:szCs w:val="24"/>
          <w:color w:val="000000"/>
          <w:b/>
          <w:bCs/>
          <w:i/>
          <w:iCs/>
        </w:rPr>
        <w:t>4 Experimental Validation</w:t>
      </w:r>
    </w:p>
    <w:p>
      <w:pPr>
        <w:pStyle w:val="11"/>
        <w:jc w:val="left"/>
        <w:widowControl/>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keepNext/>
        <w:keepLines/>
      </w:pPr>
      <w:r>
        <w:rPr>
          <w:rFonts w:ascii="Times New Roman" w:hAnsi="Times New Roman" w:eastAsia="Times New Roman" w:cs="Times New Roman"/>
          <w:sz w:val="20"/>
          <w:szCs w:val="20"/>
          <w:color w:val="000000"/>
          <w:b/>
          <w:bCs/>
          <w:i/>
          <w:iCs/>
        </w:rPr>
        <w:t>4.1 Boiler-Turbine Benchmark and Filter Comparisons</w:t>
      </w:r>
    </w:p>
    <w:p>
      <w:pPr>
        <w:pStyle w:val="11"/>
        <w:jc w:val="left"/>
        <w:widowControl/>
        <w:ind w:firstLine="420"/>
      </w:pPr>
      <w:r>
        <w:rPr>
          <w:rFonts w:ascii="Times New Roman" w:hAnsi="Times New Roman" w:eastAsia="Times New Roman" w:cs="Times New Roman"/>
          <w:sz w:val="20"/>
          <w:szCs w:val="20"/>
          <w:highlight w:val="yellow"/>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physical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enforced limits are pressure (13–24 MPa), separator enthalpy (2670–2830 kJ/kg), and generator active power around the dispatch target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All six command-level barriers have relative degree two. The HOCBF uses the sample-matched surrogate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t</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rollout applies its one-step forward-Euler map</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Thus, the HOCBF rows and controller-instant transition use the same drift and command matrices.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widowControl/>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widowControl/>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the true-drift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Per-constraint numerical tolerances with the common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each barrier’s native unit are used only for counting binary state-limit violations; every comparison is performed on the corresponding unrounded constraint value.</w:t>
      </w:r>
    </w:p>
    <w:p>
      <w:pPr>
        <w:pStyle w:val="3"/>
        <w:jc w:val="left"/>
        <w:widowControl/>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dynamics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normalized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NMPC uses its own receding-horizon proposal and is reported as an optimization reference rather than as a same-proposal filter ablation.</w:t>
      </w:r>
    </w:p>
    <w:p>
      <w:pPr>
        <w:pStyle w:val="3"/>
        <w:jc w:val="left"/>
        <w:widowControl/>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R</m:t>
                    </m:r>
                  </m:e>
                  <m:sub>
                    <m:r>
                      <m:rPr>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m:rPr>
                    <m:sty m:val="bi"/>
                  </m:rPr>
                  <w:rPr>
                    <w:rFonts w:ascii="Times New Roman" w:hAnsi="Times New Roman" w:eastAsia="Times New Roman" w:cs="Times New Roman"/>
                    <w:highlight w:val="yellow"/>
                  </w:rPr>
                  <m:t>η</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f>
                  <m:fPr>
                    <m:type m:val="bar"/>
                  </m:fPr>
                  <m:num>
                    <m:nary>
                      <m:naryPr>
                        <m:chr m:val="∑"/>
                        <m:limLoc m:val="undOvr"/>
                        <m:subHide m:val="off"/>
                        <m:supHide m:val="off"/>
                      </m:naryPr>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up>
                      <m:e>
                        <m:nary>
                          <m:naryPr>
                            <m:chr m:val="∑"/>
                            <m:limLoc m:val="undOvr"/>
                            <m:subHide m:val="off"/>
                            <m:supHide m:val="off"/>
                          </m:naryPr>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nary>
                              <m:naryPr>
                                <m:chr m:val="∑"/>
                                <m:limLoc m:val="undOvr"/>
                                <m:subHide m:val="off"/>
                                <m:supHide m:val="off"/>
                              </m:naryPr>
                              <m:sub>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r>
                                  <m:rPr>
                                    <m:sty m:val="b"/>
                                  </m:rPr>
                                  <w:rPr>
                                    <w:rFonts w:ascii="Times New Roman" w:hAnsi="Times New Roman" w:eastAsia="Times New Roman" w:cs="Times New Roman"/>
                                    <w:highlight w:val="yellow"/>
                                  </w:rPr>
                                  <m:t>1</m:t>
                                </m:r>
                              </m:e>
                            </m:nary>
                          </m:e>
                        </m:nary>
                      </m:e>
                    </m:nary>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η</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um>
                  <m:den>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den>
                </m:f>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(13)</w:t>
            </w:r>
          </w:p>
        </w:tc>
      </w:tr>
    </w:tbl>
    <w:p>
      <w:pPr>
        <w:pStyle w:val="11"/>
        <w:jc w:val="left"/>
        <w:widowControl/>
        <w:ind w:firstLine="420"/>
      </w:pPr>
      <w:r>
        <w:rPr>
          <w:rFonts w:ascii="Times New Roman" w:hAnsi="Times New Roman" w:eastAsia="Times New Roman" w:cs="Times New Roman"/>
          <w:sz w:val="20"/>
          <w:szCs w:val="20"/>
          <w:highlight w:val="yellow"/>
        </w:rPr>
        <w:t xml:space="preserve">where a sample is counted once if any enforced pressure, separator-enthalpy, or power barrier is below its own tolerance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η</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that controller sampling instant.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the same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separately in the native unit of each barrier: MPa for pressure, kJ/kg for enthalpy, and MW for power. No minimum is taken across quantities with different units. These tolerances avoid counting QP boundary roundoff as a physical violation; later stress-test diagnostics use the tolerances stated in their result files or captions. This is not an episode-level probability. Counts in Fig.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refer only to its diagnostic rollout, whereas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aggregates controller samples across seeds and rollouts for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w:t>
      </w:r>
    </w:p>
    <w:p>
      <w:pPr>
        <w:jc w:val="left"/>
        <w:spacing w:before="0" w:after="0"/>
        <w:keepNext/>
        <w:keepLines/>
      </w:pPr>
      <w:r>
        <w:rPr>
          <w:rFonts w:ascii="Times New Roman" w:hAnsi="Times New Roman" w:eastAsia="Times New Roman" w:cs="Times New Roman"/>
          <w:sz w:val="20"/>
          <w:szCs w:val="20"/>
          <w:color w:val="000000"/>
          <w:b/>
          <w:bCs/>
          <w:i/>
          <w:iCs/>
        </w:rPr>
        <w:t>4.2 Closed-Loop Safety and Process Response</w:t>
      </w:r>
    </w:p>
    <w:p>
      <w:pPr>
        <w:jc w:val="left"/>
        <w:widowControl/>
        <w:spacing w:before="80" w:after="120"/>
        <w:keepNext/>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computed by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per-constraint native-unit tolerances of numerical value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50 independent 500-sample rollouts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per-constraint native-unit tolerances of numerical value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 (all</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tune-selected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58.06</w:t>
            </w:r>
          </w:p>
        </w:tc>
      </w:tr>
    </w:tbl>
    <w:p>
      <w:pPr>
        <w:pStyle w:val="3"/>
        <w:jc w:val="left"/>
        <w:widowControl/>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samples exceeding the per-constraint counting tolerances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the resulting GP-mean RoCBF-SF row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solver failure. The comparison therefore does not establish universal superiority over MPC; RoCBF-SF’s deployment distinction is its one-step downstream projection of an existing coordinated-controller command.</w:t>
      </w:r>
    </w:p>
    <w:p>
      <w:pPr>
        <w:pStyle w:val="3"/>
        <w:jc w:val="left"/>
        <w:widowControl/>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across the six mismatch conditions and consequently reproduces the upstream proposal’s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violations. This outcome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numerical endpoint does not satisfy the theorem’s full-row robust-QP-feasibility condition, and the finite benchmark does not independently establish its uniform residual event or derivative bounds.</w:t>
      </w:r>
    </w:p>
    <w:p>
      <w:pPr>
        <w:pStyle w:val="3"/>
        <w:jc w:val="left"/>
        <w:widowControl/>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and reverts to the upstream proposal throughout.</w:t>
      </w:r>
    </w:p>
    <w:p>
      <w:pPr>
        <w:jc w:val="left"/>
        <w:spacing w:before="80" w:after="120"/>
        <w:keepNext/>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w:t>
      </w:r>
      <w:r>
        <w:rPr>
          <w:rFonts w:ascii="Times New Roman" w:hAnsi="Times New Roman" w:eastAsia="Times New Roman" w:cs="Times New Roman"/>
          <w:sz w:val="20"/>
          <w:szCs w:val="20"/>
          <w:color w:val="000000"/>
          <w:b/>
          <w:bCs/>
          <w:i/>
          <w:iCs/>
          <w:highlight w:val="yellow"/>
        </w:rPr>
        <w:t xml:space="preserve">,</w:t>
      </w:r>
      <w:r>
        <w:rPr>
          <w:rFonts w:ascii="Times New Roman" w:hAnsi="Times New Roman" w:eastAsia="Times New Roman" w:cs="Times New Roman"/>
          <w:sz w:val="20"/>
          <w:szCs w:val="20"/>
          <w:color w:val="000000"/>
          <w:b/>
          <w:bCs/>
          <w:i/>
          <w:iCs/>
          <w:highlight w:val="yellow"/>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widowControl/>
        <w:ind w:firstLine="420"/>
      </w:pPr>
      <w:r>
        <w:rPr>
          <w:rFonts w:ascii="Times New Roman" w:hAnsi="Times New Roman" w:eastAsia="Times New Roman" w:cs="Times New Roman"/>
          <w:sz w:val="20"/>
          <w:szCs w:val="20"/>
          <w:highlight w:val="yellow"/>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84165"/>
            <ns2:effectExtent b="0" l="0" r="0" t="0"/>
            <ns2:docPr descr="" title="" id="120" name="Picture"/>
            <ns3:graphic>
              <ns3:graphicData uri="http://schemas.openxmlformats.org/drawingml/2006/picture">
                <ns4:pic>
                  <ns4:nvPicPr>
                    <ns4:cNvPr descr="figures/Figure_6_process_response.png" id="121" name="Picture"/>
                    <ns4:cNvPicPr>
                      <ns3:picLocks noChangeArrowheads="1" noChangeAspect="1"/>
                    </ns4:cNvPicPr>
                  </ns4:nvPicPr>
                  <ns4:blipFill>
                    <ns3:blip ns5:embed="rId119"/>
                    <ns3:stretch>
                      <ns3:fillRect/>
                    </ns3:stretch>
                  </ns4:blipFill>
                  <ns4:spPr bwMode="auto">
                    <ns3:xfrm>
                      <ns3:off x="0" y="0"/>
                      <ns3:ext cx="5006975" cy="3384165"/>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pressure-bottleneck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 distinguishing accepted QP intervention, state-limit violation, and rejected-QP fallback.</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 per-constraint counting tolerances defined in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pressure bottleneck directly in a representative S3 rollout. HOCBF without GP correction produces 239/300 counted violations and a minimum lower-pressure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-0.59553</w:t>
      </w:r>
      <w:r>
        <w:rPr>
          <w:rFonts w:ascii="Times New Roman" w:hAnsi="Times New Roman" w:eastAsia="Times New Roman" w:cs="Times New Roman"/>
          <w:sz w:val="20"/>
          <w:szCs w:val="20"/>
          <w:highlight w:val="yellow"/>
        </w:rPr>
        <w:t xml:space="preserve"> MPa. The full implemented-margin endpoint rejects every QP candidate in this rollout and therefore follows the fallback proposal, producing essentially the same pressure excursion. The tune-selected mean-only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accepts all 300 QPs, intervenes on 241 samples, and records 0/300 counted violations under the stated pressure tolerance; its unrounded minimum pressure margin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4.94</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sup>
        </m:sSup>
      </m:oMath>
      <w:r>
        <w:rPr>
          <w:rFonts w:ascii="Times New Roman" w:hAnsi="Times New Roman" w:eastAsia="Times New Roman" w:cs="Times New Roman"/>
          <w:sz w:val="20"/>
          <w:szCs w:val="20"/>
          <w:highlight w:val="yellow"/>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124" name="Picture"/>
            <ns3:graphic>
              <ns3:graphicData uri="http://schemas.openxmlformats.org/drawingml/2006/picture">
                <ns4:pic>
                  <ns4:nvPicPr>
                    <ns4:cNvPr descr="figures/Figure_8_model_mismatch.png" id="125" name="Picture"/>
                    <ns4:cNvPicPr>
                      <ns3:picLocks noChangeArrowheads="1" noChangeAspect="1"/>
                    </ns4:cNvPicPr>
                  </ns4:nvPicPr>
                  <ns4:blipFill>
                    <ns3:blip ns5:embed="rId123"/>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 margins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12.262</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diagnostic envelope, not a separately established uniform GP confidence set.</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-1.050</w:t>
      </w:r>
      <w:r>
        <w:rPr>
          <w:rFonts w:ascii="Times New Roman" w:hAnsi="Times New Roman" w:eastAsia="Times New Roman" w:cs="Times New Roman"/>
          <w:sz w:val="20"/>
          <w:szCs w:val="20"/>
          <w:highlight w:val="yellow"/>
        </w:rPr>
        <w:t xml:space="preserve"> MPa/s for pressure and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-14.777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-14.000</w:t>
      </w:r>
      <w:r>
        <w:rPr>
          <w:rFonts w:ascii="Times New Roman" w:hAnsi="Times New Roman" w:eastAsia="Times New Roman" w:cs="Times New Roman"/>
          <w:sz w:val="20"/>
          <w:szCs w:val="20"/>
          <w:highlight w:val="yellow"/>
        </w:rPr>
        <w:t xml:space="preserve"> kJ kg</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s</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128" name="Picture"/>
            <ns3:graphic>
              <ns3:graphicData uri="http://schemas.openxmlformats.org/drawingml/2006/picture">
                <ns4:pic>
                  <ns4:nvPicPr>
                    <ns4:cNvPr descr="figures/Figure_2.png" id="129" name="Picture"/>
                    <ns4:cNvPicPr>
                      <ns3:picLocks noChangeArrowheads="1" noChangeAspect="1"/>
                    </ns4:cNvPicPr>
                  </ns4:nvPicPr>
                  <ns4:blipFill>
                    <ns3:blip ns5:embed="rId127"/>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 the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0.01, 0.02, and 0.05 each give 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rejected QP; the predeclared smallest-passing rule therefore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no counted violation is observed but 13/15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are rejected. Values of 0.2 and above fail the feasibility gate, and the full endpoint rejects all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tune-set QPs.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held-out seeds 3–4 give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keepNext/>
        <w:keepLines/>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133" name="Picture"/>
            <ns3:graphic>
              <ns3:graphicData uri="http://schemas.openxmlformats.org/drawingml/2006/picture">
                <ns4:pic>
                  <ns4:nvPicPr>
                    <ns4:cNvPr descr="figures/Figure_GP_data_sensitivity.png" id="134" name="Picture"/>
                    <ns4:cNvPicPr>
                      <ns3:picLocks noChangeArrowheads="1" noChangeAspect="1"/>
                    </ns4:cNvPicPr>
                  </ns4:nvPicPr>
                  <ns4:blipFill>
                    <ns3:blip ns5:embed="rId132"/>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gives 0/2500 counted violations and no QP rejection at each size. Synthetic target corruption exposes a dictionary-size dependence: the 100- and 250-point fits produce 5.76–20.24% violation and 4.04–8.60% QP rejection, whereas the 500-point fits retain 0/2500 counted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keepNext/>
        <w:keepLines/>
      </w:pPr>
      <w:r>
        <w:rPr>
          <w:rFonts w:ascii="Times New Roman" w:hAnsi="Times New Roman" w:eastAsia="Times New Roman" w:cs="Times New Roman"/>
          <w:sz w:val="20"/>
          <w:szCs w:val="20"/>
          <w:color w:val="000000"/>
          <w:b/>
          <w:bCs/>
          <w:i/>
          <w:iCs/>
          <w:highlight w:val="yellow"/>
        </w:rPr>
        <w:t>4.4 Real-Time Computation</w:t>
      </w:r>
    </w:p>
    <w:p>
      <w:pPr>
        <w:pStyle w:val="11"/>
        <w:jc w:val="left"/>
        <w:widowControl/>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widowControl/>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keepNext/>
        <w:keepLines/>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widowControl/>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139" name="Picture"/>
            <ns3:graphic>
              <ns3:graphicData uri="http://schemas.openxmlformats.org/drawingml/2006/picture">
                <ns4:pic>
                  <ns4:nvPicPr>
                    <ns4:cNvPr descr="figures/Figure_9_production_historian.png" id="140" name="Picture"/>
                    <ns4:cNvPicPr>
                      <ns3:picLocks noChangeArrowheads="1" noChangeAspect="1"/>
                    </ns4:cNvPicPr>
                  </ns4:nvPicPr>
                  <ns4:blipFill>
                    <ns3:blip ns5:embed="rId138"/>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widowControl/>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 Across the two record types, measured operation spans 195.7 to 629.7 MW (29.7–95.4% of nameplate), but it does not provide continuous controller-internal performance validation at every load through 660 MW.</w:t>
      </w:r>
    </w:p>
    <w:p>
      <w:pPr>
        <w:pStyle w:val="3"/>
        <w:jc w:val="left"/>
        <w:widowControl/>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Retained plant work-scope and controller-configuration records distinguish the simultaneous changes. Routine maintenance included instrument calibration, actuator inspection, combustion-equipment maintenance, and heat-surface cleaning. The baseline PID gains, output limits, anti-windup, sliding-pressure curve, coordinated-control logic, and fuel/feedwater/turbine-valve base loops were unchanged; the control-system modification was the downstream RoCBF-SF integration and its enable, bypass, heartbeat, command-quality, and DCS-selection logic. We screened 300 s historian records from 2024–2025 and 25 June–5 July 2026. Candidate two-hour windows contain 24 consecutive samples, advance every 30 min, and retain only load in 195–700 MW with finite pressure, setpoint, and fuel-flow values. The 700 MW ceiling is a permissive data-quality screen rather than an observed operating endpoint; measured ranges are reported separately below.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native-5 s load-matched diagnostic, not a selected member of the 300 s cohort; its source timestamps and metric JSON are preserved independently in the evidence package. The retained records narrow the set of control-system changes but do not remove routine maintenance as a competing explanation, so the response comparison remains observational evidence associated with the documented retrofit rather than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143" name="Picture"/>
            <ns3:graphic>
              <ns3:graphicData uri="http://schemas.openxmlformats.org/drawingml/2006/picture">
                <ns4:pic>
                  <ns4:nvPicPr>
                    <ns4:cNvPr descr="figures/Figure_10_production_retrofit_evidence.png" id="144" name="Picture"/>
                    <ns4:cNvPicPr>
                      <ns3:picLocks noChangeArrowheads="1" noChangeAspect="1"/>
                    </ns4:cNvPicPr>
                  </ns4:nvPicPr>
                  <ns4:blipFill>
                    <ns3:blip ns5:embed="rId142"/>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widowControl/>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147" name="Picture"/>
            <ns3:graphic>
              <ns3:graphicData uri="http://schemas.openxmlformats.org/drawingml/2006/picture">
                <ns4:pic>
                  <ns4:nvPicPr>
                    <ns4:cNvPr descr="figures/Figure_11_controller_log_validation.png" id="148" name="Picture"/>
                    <ns4:cNvPicPr>
                      <ns3:picLocks noChangeArrowheads="1" noChangeAspect="1"/>
                    </ns4:cNvPicPr>
                  </ns4:nvPicPr>
                  <ns4:blipFill>
                    <ns3:blip ns5:embed="rId146"/>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widowControl/>
        <w:spacing w:before="80" w:after="120"/>
        <w:keepNext/>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widowControl/>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widowControl/>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widowControl/>
        <w:spacing w:before="80" w:after="120"/>
        <w:keepNext/>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widowControl/>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keepNext/>
        <w:keepLines/>
      </w:pPr>
      <w:r>
        <w:rPr>
          <w:rFonts w:ascii="Times New Roman" w:hAnsi="Times New Roman" w:eastAsia="Times New Roman" w:cs="Times New Roman"/>
          <w:sz w:val="20"/>
          <w:szCs w:val="20"/>
          <w:color w:val="000000"/>
          <w:b/>
          <w:bCs/>
          <w:i/>
          <w:iCs/>
          <w:highlight w:val="yellow"/>
        </w:rPr>
        <w:t>4.6 Stage-Gated Commissioning Protocol</w:t>
      </w:r>
    </w:p>
    <w:p>
      <w:pPr>
        <w:pStyle w:val="11"/>
        <w:jc w:val="left"/>
        <w:widowControl/>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widowControl/>
        <w:spacing w:before="80" w:after="120"/>
        <w:keepNext/>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Use a field-calibrated frozen GP whose training domain covers the commissioned operating envelope; select the smallest</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widowControl/>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widowControl/>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keepNext/>
        <w:keepLines/>
      </w:pPr>
      <w:r>
        <w:rPr>
          <w:rFonts w:ascii="Times New Roman" w:hAnsi="Times New Roman" w:eastAsia="Times New Roman" w:cs="Times New Roman"/>
          <w:sz w:val="24"/>
          <w:szCs w:val="24"/>
          <w:color w:val="000000"/>
          <w:b/>
          <w:bCs/>
          <w:i/>
          <w:iCs/>
        </w:rPr>
        <w:t>5 Conclusion</w:t>
      </w:r>
    </w:p>
    <w:p>
      <w:pPr>
        <w:pStyle w:val="11"/>
        <w:jc w:val="left"/>
        <w:widowControl/>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widowControl/>
        <w:ind w:firstLine="420"/>
      </w:pPr>
      <w:r>
        <w:rPr>
          <w:rFonts w:ascii="Times New Roman" w:hAnsi="Times New Roman" w:eastAsia="Times New Roman" w:cs="Times New Roman"/>
          <w:sz w:val="20"/>
          <w:szCs w:val="20"/>
          <w:highlight w:val="yellow"/>
        </w:rPr>
        <w:t xml:space="preserve">The seven-state,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samples exceeding the prespecified per-constraint native-unit tolerances. The predeclared calibration rule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this RoCBF-SF setting and the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counted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multiplier does not establish those conditions by itself.</w:t>
      </w:r>
    </w:p>
    <w:p>
      <w:pPr>
        <w:pStyle w:val="3"/>
        <w:jc w:val="left"/>
        <w:widowControl/>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widowControl/>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keepNext/>
        <w:keepLines/>
      </w:pPr>
      <w:r>
        <w:rPr>
          <w:rFonts w:ascii="Times New Roman" w:hAnsi="Times New Roman" w:eastAsia="Times New Roman" w:cs="Times New Roman"/>
          <w:sz w:val="24"/>
          <w:szCs w:val="24"/>
          <w:color w:val="000000"/>
          <w:b/>
          <w:bCs/>
          <w:i/>
          <w:iCs/>
          <w:highlight w:val="yellow"/>
        </w:rPr>
        <w:t xml:space="preserve">Statements and Declarations</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Ethical considerations</w:t>
      </w:r>
    </w:p>
    <w:p>
      <w:pPr>
        <w:pStyle w:val="11"/>
        <w:jc w:val="left"/>
        <w:widowControl/>
        <w:ind w:firstLine="420"/>
      </w:pPr>
      <w:r>
        <w:rPr>
          <w:rFonts w:ascii="Times New Roman" w:hAnsi="Times New Roman" w:eastAsia="Times New Roman" w:cs="Times New Roman"/>
          <w:sz w:val="20"/>
          <w:szCs w:val="20"/>
          <w:highlight w:val="yellow"/>
        </w:rPr>
        <w:t xml:space="preserve">Not applicable. This study did not involve human participants, human data, human tissue, or animal experiments.</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Consent to participate</w:t>
      </w:r>
    </w:p>
    <w:p>
      <w:pPr>
        <w:pStyle w:val="11"/>
        <w:jc w:val="left"/>
        <w:widowControl/>
        <w:ind w:firstLine="420"/>
      </w:pPr>
      <w:r>
        <w:rPr>
          <w:rFonts w:ascii="Times New Roman" w:hAnsi="Times New Roman" w:eastAsia="Times New Roman" w:cs="Times New Roman"/>
          <w:sz w:val="20"/>
          <w:szCs w:val="20"/>
          <w:highlight w:val="yellow"/>
        </w:rPr>
        <w:t xml:space="preserve">Not applicable.</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Consent for publication</w:t>
      </w:r>
    </w:p>
    <w:p>
      <w:pPr>
        <w:pStyle w:val="11"/>
        <w:jc w:val="left"/>
        <w:widowControl/>
        <w:ind w:firstLine="420"/>
      </w:pPr>
      <w:r>
        <w:rPr>
          <w:rFonts w:ascii="Times New Roman" w:hAnsi="Times New Roman" w:eastAsia="Times New Roman" w:cs="Times New Roman"/>
          <w:sz w:val="20"/>
          <w:szCs w:val="20"/>
          <w:highlight w:val="yellow"/>
        </w:rPr>
        <w:t xml:space="preserve">Not applicable.</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Declaration of conflicting interests</w:t>
      </w:r>
    </w:p>
    <w:p>
      <w:pPr>
        <w:pStyle w:val="11"/>
        <w:jc w:val="left"/>
        <w:widowControl/>
        <w:ind w:firstLine="420"/>
      </w:pPr>
      <w:r>
        <w:rPr>
          <w:rFonts w:ascii="Times New Roman" w:hAnsi="Times New Roman" w:eastAsia="Times New Roman" w:cs="Times New Roman"/>
          <w:sz w:val="20"/>
          <w:szCs w:val="20"/>
          <w:highlight w:val="yellow"/>
        </w:rPr>
        <w:t xml:space="preserve">The author(s) declared no potential conflicts of interest with respect to the research, authorship, and/or publication of this article.</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Funding</w:t>
      </w:r>
    </w:p>
    <w:p>
      <w:pPr>
        <w:pStyle w:val="11"/>
        <w:jc w:val="left"/>
        <w:widowControl/>
        <w:ind w:firstLine="420"/>
      </w:pPr>
      <w:r>
        <w:rPr>
          <w:rFonts w:ascii="Times New Roman" w:hAnsi="Times New Roman" w:eastAsia="Times New Roman" w:cs="Times New Roman"/>
          <w:sz w:val="20"/>
          <w:szCs w:val="20"/>
          <w:highlight w:val="yellow"/>
        </w:rPr>
        <w:t xml:space="preserve">This work was supported by the Postdoctoral Research Project of China Resources Power Technology Research Institute Co., Ltd. (Internal Project No. 374322).</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Data availability</w:t>
      </w:r>
    </w:p>
    <w:p>
      <w:pPr>
        <w:pStyle w:val="11"/>
        <w:jc w:val="left"/>
        <w:widowControl/>
        <w:ind w:firstLine="420"/>
      </w:pPr>
      <w:r>
        <w:rPr>
          <w:rFonts w:ascii="Times New Roman" w:hAnsi="Times New Roman" w:eastAsia="Times New Roman" w:cs="Times New Roman"/>
          <w:sz w:val="20"/>
          <w:szCs w:val="20"/>
          <w:highlight w:val="yellow"/>
        </w:rPr>
        <w:t xml:space="preserve">The source code, simulation scripts, benchmark results, plotting scripts, derived plant-historian metrics, and bounded controller-export excerpts are available in 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GitHub repository</w:t>
      </w:r>
      <w:r>
        <w:rPr>
          <w:rFonts w:ascii="Times New Roman" w:hAnsi="Times New Roman" w:eastAsia="Times New Roman" w:cs="Times New Roman"/>
          <w:sz w:val="20"/>
          <w:szCs w:val="20"/>
          <w:highlight w:val="yellow"/>
        </w:rPr>
        <w:t xml:space="preserve">. Complete raw plant records are proprietary enterprise assets. Qualified researchers may request restricted access from the corresponding author, subject to data-owner approval and an executed data-use agreement.</w:t>
      </w:r>
    </w:p>
    <w:p>
      <w:pPr>
        <w:jc w:val="left"/>
        <w:spacing w:before="0" w:after="0"/>
        <w:keepNext/>
        <w:keepLines/>
      </w:pPr>
      <w:r>
        <w:rPr>
          <w:rFonts w:ascii="Times New Roman" w:hAnsi="Times New Roman" w:eastAsia="Times New Roman" w:cs="Times New Roman"/>
          <w:sz w:val="20"/>
          <w:szCs w:val="20"/>
          <w:color w:val="000000"/>
          <w:b/>
          <w:bCs/>
          <w:i/>
          <w:iCs/>
          <w:highlight w:val="yellow"/>
        </w:rPr>
        <w:t xml:space="preserve">Declaration of generative AI and AI-assisted technologies</w:t>
      </w:r>
    </w:p>
    <w:p>
      <w:pPr>
        <w:pStyle w:val="11"/>
        <w:jc w:val="left"/>
        <w:widowControl/>
        <w:ind w:firstLine="420"/>
      </w:pPr>
      <w:r>
        <w:rPr>
          <w:rFonts w:ascii="Times New Roman" w:hAnsi="Times New Roman" w:eastAsia="Times New Roman" w:cs="Times New Roman"/>
          <w:sz w:val="20"/>
          <w:szCs w:val="20"/>
          <w:highlight w:val="yellow"/>
        </w:rPr>
        <w:t xml:space="preserve">During preparation of this work, the authors used Grammarly for English grammar checking. The authors reviewed and edited the manuscript and take full responsibility for its content.</w:t>
      </w:r>
    </w:p>
    <w:p>
      <w:pPr>
        <w:jc w:val="left"/>
        <w:spacing w:before="0" w:after="0"/>
        <w:keepNext/>
        <w:keepLines/>
      </w:pPr>
      <w:r>
        <w:rPr>
          <w:rFonts w:ascii="Times New Roman" w:hAnsi="Times New Roman" w:eastAsia="Times New Roman" w:cs="Times New Roman"/>
          <w:sz w:val="24"/>
          <w:szCs w:val="24"/>
          <w:color w:val="000000"/>
          <w:b/>
          <w:bCs/>
          <w:i/>
          <w:iCs/>
        </w:rPr>
        <w:t xml:space="preserve">References</w:t>
      </w:r>
    </w:p>
    <w:p>
      <w:pPr>
        <w:pStyle w:val="18"/>
        <w:jc w:val="left"/>
        <w:widowControl/>
        <w:ind w:left="360" w:hanging="360"/>
      </w:pPr>
      <w:r>
        <w:rPr>
          <w:rFonts w:ascii="Times New Roman" w:hAnsi="Times New Roman" w:eastAsia="Times New Roman" w:cs="Times New Roman"/>
          <w:sz w:val="20"/>
          <w:szCs w:val="20"/>
        </w:rPr>
        <w:t>[1] Wu L, Huang L, Wang Y, et al. Pressure optimization control of low-pressure vacuum systems based on anti-disturbance Smith predictor compensation. Meas Control. 2026;59(6):870–82. doi:10.1177/00202940251372871</w:t>
      </w:r>
    </w:p>
    <w:p>
      <w:pPr>
        <w:pStyle w:val="18"/>
        <w:jc w:val="left"/>
        <w:widowControl/>
        <w:ind w:left="360" w:hanging="360"/>
      </w:pPr>
      <w:r>
        <w:rPr>
          <w:rFonts w:ascii="Times New Roman" w:hAnsi="Times New Roman" w:eastAsia="Times New Roman" w:cs="Times New Roman"/>
          <w:sz w:val="20"/>
          <w:szCs w:val="20"/>
        </w:rPr>
        <w:t>[2] Feng YW, Li YH. Event-triggered voltage regulation and current sharing in neighbors-based second control for DC microgrids. Meas Control. 2026;59(5):630–9. doi:10.1177/00202940251344578</w:t>
      </w:r>
    </w:p>
    <w:p>
      <w:pPr>
        <w:pStyle w:val="18"/>
        <w:jc w:val="left"/>
        <w:widowControl/>
        <w:ind w:left="360" w:hanging="360"/>
      </w:pPr>
      <w:r>
        <w:rPr>
          <w:rFonts w:ascii="Times New Roman" w:hAnsi="Times New Roman" w:eastAsia="Times New Roman" w:cs="Times New Roman"/>
          <w:sz w:val="20"/>
          <w:szCs w:val="20"/>
        </w:rPr>
        <w:t>[3] Ames AD, Coogan S, Egerstedt M, et al. Control barrier functions: Theory and applications. In: Proceedings of the 18th european control conference (ECC). 2019. p. 3420–31. doi:10.23919/ECC.2019.8796030</w:t>
      </w:r>
    </w:p>
    <w:p>
      <w:pPr>
        <w:pStyle w:val="18"/>
        <w:jc w:val="left"/>
        <w:widowControl/>
        <w:ind w:left="360" w:hanging="360"/>
      </w:pPr>
      <w:r>
        <w:rPr>
          <w:rFonts w:ascii="Times New Roman" w:hAnsi="Times New Roman" w:eastAsia="Times New Roman" w:cs="Times New Roman"/>
          <w:sz w:val="20"/>
          <w:szCs w:val="20"/>
        </w:rPr>
        <w:t>[4] Xiao W, Belta C, Cassandras CG. High-order control barrier functions. IEEE Trans Automat Contr. 2022;67(7):3655–62.</w:t>
      </w:r>
    </w:p>
    <w:p>
      <w:pPr>
        <w:pStyle w:val="18"/>
        <w:jc w:val="left"/>
        <w:widowControl/>
        <w:ind w:left="360" w:hanging="360"/>
      </w:pPr>
      <w:r>
        <w:rPr>
          <w:rFonts w:ascii="Times New Roman" w:hAnsi="Times New Roman" w:eastAsia="Times New Roman" w:cs="Times New Roman"/>
          <w:sz w:val="20"/>
          <w:szCs w:val="20"/>
        </w:rPr>
        <w:t>[5] Rasmussen CE, Williams CKI. Gaussian processes for machine learning. MIT Press; 2006.</w:t>
      </w:r>
    </w:p>
    <w:p>
      <w:pPr>
        <w:pStyle w:val="18"/>
        <w:jc w:val="left"/>
        <w:widowControl/>
        <w:ind w:left="360" w:hanging="360"/>
      </w:pPr>
      <w:r>
        <w:rPr>
          <w:rFonts w:ascii="Times New Roman" w:hAnsi="Times New Roman" w:eastAsia="Times New Roman" w:cs="Times New Roman"/>
          <w:sz w:val="20"/>
          <w:szCs w:val="20"/>
        </w:rPr>
        <w:t>[6] Srinivas N, Krause A, Kakade SM, et al. Information-theoretic regret bounds for Gaussian process optimization in the bandit setting. IEEE Trans Inf Theory. 2012;58(5):3250–65. doi:10.1109/TIT.2011.2182033</w:t>
      </w:r>
    </w:p>
    <w:p>
      <w:pPr>
        <w:pStyle w:val="18"/>
        <w:jc w:val="left"/>
        <w:widowControl/>
        <w:ind w:left="360" w:hanging="360"/>
      </w:pPr>
      <w:r>
        <w:rPr>
          <w:rFonts w:ascii="Times New Roman" w:hAnsi="Times New Roman" w:eastAsia="Times New Roman" w:cs="Times New Roman"/>
          <w:sz w:val="20"/>
          <w:szCs w:val="20"/>
        </w:rPr>
        <w:t>[7] Cheng R, Orosz G, Murray RM, et al. End-to-end safe reinforcement learning through barrier functions for safety-critical continuous control. In: Proceedings of the AAAI conference on artificial intelligence. 2019. p. 3387–95. doi:10.1609/aaai.v33i01.33013387</w:t>
      </w:r>
    </w:p>
    <w:p>
      <w:pPr>
        <w:pStyle w:val="18"/>
        <w:jc w:val="left"/>
        <w:widowControl/>
        <w:ind w:left="360" w:hanging="360"/>
      </w:pPr>
      <w:r>
        <w:rPr>
          <w:rFonts w:ascii="Times New Roman" w:hAnsi="Times New Roman" w:eastAsia="Times New Roman" w:cs="Times New Roman"/>
          <w:sz w:val="20"/>
          <w:szCs w:val="20"/>
        </w:rPr>
        <w:t>[8] Fisac JF, Akametalu AK, Zeilinger MN, et al. A general safety framework for learning-based control in uncertain robotic systems. IEEE Trans Automat Contr. 2019;64(7):2737–52.</w:t>
      </w:r>
    </w:p>
    <w:p>
      <w:pPr>
        <w:pStyle w:val="18"/>
        <w:jc w:val="left"/>
        <w:widowControl/>
        <w:ind w:left="360" w:hanging="360"/>
      </w:pPr>
      <w:r>
        <w:rPr>
          <w:rFonts w:ascii="Times New Roman" w:hAnsi="Times New Roman" w:eastAsia="Times New Roman" w:cs="Times New Roman"/>
          <w:sz w:val="20"/>
          <w:szCs w:val="20"/>
        </w:rPr>
        <w:t>[9] Castañeda F, Choi JJ, Zhang B, et al. Pointwise feasibility of Gaussian process-based safety-critical control under model uncertainty. In: Proceedings of the 60th IEEE conference on decision and control (CDC). 2021. p. 6762–9. doi:10.1109/CDC45484.2021.9683743</w:t>
      </w:r>
    </w:p>
    <w:p>
      <w:pPr>
        <w:pStyle w:val="18"/>
        <w:jc w:val="left"/>
        <w:widowControl/>
        <w:ind w:left="360" w:hanging="360"/>
      </w:pPr>
      <w:r>
        <w:rPr>
          <w:rFonts w:ascii="Times New Roman" w:hAnsi="Times New Roman" w:eastAsia="Times New Roman" w:cs="Times New Roman"/>
          <w:sz w:val="20"/>
          <w:szCs w:val="20"/>
        </w:rPr>
        <w:t>[10] Aali M, Liu J. Learning high-order control barrier functions for safety-critical control with Gaussian processes. In: Proceedings of the american control conference (ACC). 2024. p. 1–6. doi:10.23919/ACC60939.2024.10644311</w:t>
      </w:r>
    </w:p>
    <w:p>
      <w:pPr>
        <w:pStyle w:val="18"/>
        <w:jc w:val="left"/>
        <w:widowControl/>
        <w:ind w:left="360" w:hanging="360"/>
      </w:pPr>
      <w:r>
        <w:rPr>
          <w:rFonts w:ascii="Times New Roman" w:hAnsi="Times New Roman" w:eastAsia="Times New Roman" w:cs="Times New Roman"/>
          <w:sz w:val="20"/>
          <w:szCs w:val="20"/>
        </w:rPr>
        <w:t>[11] Zhang Y, Wen L, Bing Z, et al. Adaptive safety-critical control for high-order systems: A real-time Gaussian process approach. IEEE Trans Autom Sci Eng. 2025;22:21296–310. doi:10.1109/TASE.2025.3611987</w:t>
      </w:r>
    </w:p>
    <w:p>
      <w:pPr>
        <w:pStyle w:val="18"/>
        <w:jc w:val="left"/>
        <w:widowControl/>
        <w:ind w:left="360" w:hanging="360"/>
      </w:pPr>
      <w:r>
        <w:rPr>
          <w:rFonts w:ascii="Times New Roman" w:hAnsi="Times New Roman" w:eastAsia="Times New Roman" w:cs="Times New Roman"/>
          <w:sz w:val="20"/>
          <w:szCs w:val="20"/>
        </w:rPr>
        <w:t>[12] Åström KJ, Bell RD. Benchmark problems for control system design. IFAC Proc Vol. 2000;33(11):27–46.</w:t>
      </w:r>
    </w:p>
    <w:p>
      <w:pPr>
        <w:pStyle w:val="18"/>
        <w:jc w:val="left"/>
        <w:widowControl/>
        <w:ind w:left="360" w:hanging="360"/>
      </w:pPr>
      <w:r>
        <w:rPr>
          <w:rFonts w:ascii="Times New Roman" w:hAnsi="Times New Roman" w:eastAsia="Times New Roman" w:cs="Times New Roman"/>
          <w:sz w:val="20"/>
          <w:szCs w:val="20"/>
        </w:rPr>
        <w:t>[13] Li SY, Liu HB, Cai WJ, et al. A new coordinated control strategy for boiler-turbine system of coal-fired power plant. IEEE Trans Control Syst Technol. 2005;13(6):943–54. doi:10.1109/TCST.2005.854319</w:t>
      </w:r>
    </w:p>
    <w:p>
      <w:pPr>
        <w:pStyle w:val="18"/>
        <w:jc w:val="left"/>
        <w:widowControl/>
        <w:ind w:left="360" w:hanging="360"/>
      </w:pPr>
      <w:r>
        <w:rPr>
          <w:rFonts w:ascii="Times New Roman" w:hAnsi="Times New Roman" w:eastAsia="Times New Roman" w:cs="Times New Roman"/>
          <w:sz w:val="20"/>
          <w:szCs w:val="20"/>
        </w:rPr>
        <w:t>[14] Tan W, Liu JZ, Fang F. Coordinated control of boiler-turbine unit of supercritical power plant. J Process Control. 2006;16(3):261–7.</w:t>
      </w:r>
    </w:p>
    <w:p>
      <w:pPr>
        <w:pStyle w:val="18"/>
        <w:jc w:val="left"/>
        <w:widowControl/>
        <w:ind w:left="360" w:hanging="360"/>
      </w:pPr>
      <w:r>
        <w:rPr>
          <w:rFonts w:ascii="Times New Roman" w:hAnsi="Times New Roman" w:eastAsia="Times New Roman" w:cs="Times New Roman"/>
          <w:sz w:val="20"/>
          <w:szCs w:val="20"/>
        </w:rPr>
        <w:t>[15] Liu X, Guan P, Chan CW. Nonlinear multivariable power plant coordinate control by constrained predictive scheme. IEEE Trans Control Syst Technol. 2010;18(5):1116–25. doi:10.1109/TCST.2009.2034640</w:t>
      </w:r>
    </w:p>
    <w:p>
      <w:pPr>
        <w:pStyle w:val="18"/>
        <w:jc w:val="left"/>
        <w:widowControl/>
        <w:ind w:left="360" w:hanging="360"/>
      </w:pPr>
      <w:r>
        <w:rPr>
          <w:rFonts w:ascii="Times New Roman" w:hAnsi="Times New Roman" w:eastAsia="Times New Roman" w:cs="Times New Roman"/>
          <w:sz w:val="20"/>
          <w:szCs w:val="20"/>
        </w:rPr>
        <w:t>[16] Abdelbaky MA, Liu X, Kong X. Stable constrained model predictive control based on IOFL technique for boiler-turbine system. Trans Inst Meas Control. 2025;47(6):1104–16. doi:10.1177/01423312241263911</w:t>
      </w:r>
    </w:p>
    <w:p>
      <w:pPr>
        <w:pStyle w:val="18"/>
        <w:jc w:val="left"/>
        <w:widowControl/>
        <w:ind w:left="360" w:hanging="360"/>
      </w:pPr>
      <w:r>
        <w:rPr>
          <w:rFonts w:ascii="Times New Roman" w:hAnsi="Times New Roman" w:eastAsia="Times New Roman" w:cs="Times New Roman"/>
          <w:sz w:val="20"/>
          <w:szCs w:val="20"/>
        </w:rPr>
        <w:t>[17] Liu JZ, Zeng DL, Tian L, et al. Control strategy for operating flexibility of coal-fired power plants in alternate electrical power systems. Proc CSEE. 2015;35(21):5385–94. doi:10.13334/j.0258-8013.pcsee.2015.21.001</w:t>
      </w:r>
    </w:p>
    <w:p>
      <w:pPr>
        <w:pStyle w:val="18"/>
        <w:jc w:val="left"/>
        <w:widowControl/>
        <w:ind w:left="360" w:hanging="360"/>
      </w:pPr>
      <w:r>
        <w:rPr>
          <w:rFonts w:ascii="Times New Roman" w:hAnsi="Times New Roman" w:eastAsia="Times New Roman" w:cs="Times New Roman"/>
          <w:sz w:val="20"/>
          <w:szCs w:val="20"/>
        </w:rPr>
        <w:t>[18] Qin SJ, Badgwell TA. A survey of industrial model predictive control technology. Control Eng Pract. 2003;11(7):733–64. doi:10.1016/S0967-0661(02)00186-7</w:t>
      </w:r>
    </w:p>
    <w:p>
      <w:pPr>
        <w:pStyle w:val="18"/>
        <w:jc w:val="left"/>
        <w:widowControl/>
        <w:ind w:left="360" w:hanging="360"/>
      </w:pPr>
      <w:r>
        <w:rPr>
          <w:rFonts w:ascii="Times New Roman" w:hAnsi="Times New Roman" w:eastAsia="Times New Roman" w:cs="Times New Roman"/>
          <w:sz w:val="20"/>
          <w:szCs w:val="20"/>
        </w:rPr>
        <w:t>[19] Mayne DQ, Rawlings JB, Rao CV, et al. Constrained model predictive control: Stability and optimality. Automatica. 2000;36(6):789–814.</w:t>
      </w:r>
    </w:p>
    <w:p>
      <w:pPr>
        <w:pStyle w:val="18"/>
        <w:jc w:val="left"/>
        <w:widowControl/>
        <w:ind w:left="360" w:hanging="360"/>
      </w:pPr>
      <w:r>
        <w:rPr>
          <w:rFonts w:ascii="Times New Roman" w:hAnsi="Times New Roman" w:eastAsia="Times New Roman" w:cs="Times New Roman"/>
          <w:sz w:val="20"/>
          <w:szCs w:val="20"/>
        </w:rPr>
        <w:t>[20] Morari M, Lee JH. Model predictive control: Past, present and future. Comput Chem Eng. 1999;23(4-5):667–82. doi:10.1016/S0098-1354(98)00301-9</w:t>
      </w:r>
    </w:p>
    <w:p>
      <w:pPr>
        <w:pStyle w:val="18"/>
        <w:jc w:val="left"/>
        <w:widowControl/>
        <w:ind w:left="360" w:hanging="360"/>
      </w:pPr>
      <w:r>
        <w:rPr>
          <w:rFonts w:ascii="Times New Roman" w:hAnsi="Times New Roman" w:eastAsia="Times New Roman" w:cs="Times New Roman"/>
          <w:sz w:val="20"/>
          <w:szCs w:val="20"/>
        </w:rPr>
        <w:t>[21] Mayne DQ, Seron MM, Raković SV. Robust model predictive control of constrained linear systems with bounded disturbances. Automatica. 2005;41(2):219–24. doi:10.1016/j.automatica.2004.08.019</w:t>
      </w:r>
    </w:p>
    <w:p>
      <w:pPr>
        <w:pStyle w:val="18"/>
        <w:jc w:val="left"/>
        <w:widowControl/>
        <w:ind w:left="360" w:hanging="360"/>
      </w:pPr>
      <w:r>
        <w:rPr>
          <w:rFonts w:ascii="Times New Roman" w:hAnsi="Times New Roman" w:eastAsia="Times New Roman" w:cs="Times New Roman"/>
          <w:sz w:val="20"/>
          <w:szCs w:val="20"/>
        </w:rPr>
        <w:t>[22] Mesbah A. Stochastic model predictive control: An overview and perspectives for future research. IEEE Control Syst Mag. 2016;36(6):30–44. doi:10.1109/MCS.2016.2602087</w:t>
      </w:r>
    </w:p>
    <w:p>
      <w:pPr>
        <w:pStyle w:val="18"/>
        <w:jc w:val="left"/>
        <w:widowControl/>
        <w:ind w:left="360" w:hanging="360"/>
      </w:pPr>
      <w:r>
        <w:rPr>
          <w:rFonts w:ascii="Times New Roman" w:hAnsi="Times New Roman" w:eastAsia="Times New Roman" w:cs="Times New Roman"/>
          <w:sz w:val="20"/>
          <w:szCs w:val="20"/>
        </w:rPr>
        <w:t>[23] Hewing L, Kabzan J, Zeilinger MN. Cautious model predictive control using Gaussian process regression. IEEE Trans Control Syst Technol. 2020;28(6):2736–43. doi:10.1109/TCST.2019.2949757</w:t>
      </w:r>
    </w:p>
    <w:p>
      <w:pPr>
        <w:pStyle w:val="18"/>
        <w:jc w:val="left"/>
        <w:widowControl/>
        <w:ind w:left="360" w:hanging="360"/>
      </w:pPr>
      <w:r>
        <w:rPr>
          <w:rFonts w:ascii="Times New Roman" w:hAnsi="Times New Roman" w:eastAsia="Times New Roman" w:cs="Times New Roman"/>
          <w:sz w:val="20"/>
          <w:szCs w:val="20"/>
        </w:rPr>
        <w:t>[24] Wieland P, Allgöwer F. Constructive safety using control barrier functions. IFAC Proc Vol. 2007;40(12):462–7.</w:t>
      </w:r>
    </w:p>
    <w:p>
      <w:pPr>
        <w:pStyle w:val="18"/>
        <w:jc w:val="left"/>
        <w:widowControl/>
        <w:ind w:left="360" w:hanging="360"/>
      </w:pPr>
      <w:r>
        <w:rPr>
          <w:rFonts w:ascii="Times New Roman" w:hAnsi="Times New Roman" w:eastAsia="Times New Roman" w:cs="Times New Roman"/>
          <w:sz w:val="20"/>
          <w:szCs w:val="20"/>
        </w:rPr>
        <w:t>[25] Jankovic M. Robust control barrier functions for constrained nonlinear systems. Automatica. 2018;96:359–67. doi:10.1016/j.automatica.2018.07.004</w:t>
      </w:r>
    </w:p>
    <w:p>
      <w:pPr>
        <w:pStyle w:val="18"/>
        <w:jc w:val="left"/>
        <w:widowControl/>
        <w:ind w:left="360" w:hanging="360"/>
      </w:pPr>
      <w:r>
        <w:rPr>
          <w:rFonts w:ascii="Times New Roman" w:hAnsi="Times New Roman" w:eastAsia="Times New Roman" w:cs="Times New Roman"/>
          <w:sz w:val="20"/>
          <w:szCs w:val="20"/>
        </w:rPr>
        <w:t>[26] Taylor AJ, Singletary A, Yue Y, et al. A control barrier perspective on episodic learning via projection-to-state safety. IEEE Control Syst Lett. 2020;5(3):1019–24. doi:10.1109/LCSYS.2020.3009082</w:t>
      </w:r>
    </w:p>
    <w:p>
      <w:pPr>
        <w:pStyle w:val="18"/>
        <w:jc w:val="left"/>
        <w:widowControl/>
        <w:ind w:left="360" w:hanging="360"/>
      </w:pPr>
      <w:r>
        <w:rPr>
          <w:rFonts w:ascii="Times New Roman" w:hAnsi="Times New Roman" w:eastAsia="Times New Roman" w:cs="Times New Roman"/>
          <w:sz w:val="20"/>
          <w:szCs w:val="20"/>
        </w:rPr>
        <w:t>[27] Long Q, Wang YT, Pan J. Safe control synthesis with uncertain dynamics via adaptive control barrier functions. IEEE Robot Autom Lett. 2023;8(3):1615–22.</w:t>
      </w:r>
    </w:p>
    <w:p>
      <w:pPr>
        <w:pStyle w:val="18"/>
        <w:jc w:val="left"/>
        <w:widowControl/>
        <w:ind w:left="360" w:hanging="360"/>
      </w:pPr>
      <w:r>
        <w:rPr>
          <w:rFonts w:ascii="Times New Roman" w:hAnsi="Times New Roman" w:eastAsia="Times New Roman" w:cs="Times New Roman"/>
          <w:sz w:val="20"/>
          <w:szCs w:val="20"/>
        </w:rPr>
        <w:t>[28] Zeng J, Zhang B, Li Z, et al. Safety-critical control using optimal-decay control barrier function with guaranteed point-wise feasibility. In: Proceedings of the american control conference (ACC). 2021. p. 3856–63. doi:10.23919/ACC50511.2021.9482626</w:t>
      </w:r>
    </w:p>
    <w:p>
      <w:pPr>
        <w:pStyle w:val="18"/>
        <w:jc w:val="left"/>
        <w:widowControl/>
        <w:ind w:left="360" w:hanging="360"/>
      </w:pPr>
      <w:r>
        <w:rPr>
          <w:rFonts w:ascii="Times New Roman" w:hAnsi="Times New Roman" w:eastAsia="Times New Roman" w:cs="Times New Roman"/>
          <w:sz w:val="20"/>
          <w:szCs w:val="20"/>
        </w:rPr>
        <w:t>[29] Agrawal A, Sreenath K. Discrete control barrier functions for safety-critical control of discrete systems with application to bipedal robot navigation. In: Proceedings of robotics: Science and systems (RSS). 2017. p. Paper 073. doi:10.15607/RSS.2017.XIII.073</w:t>
      </w:r>
    </w:p>
    <w:p>
      <w:pPr>
        <w:pStyle w:val="18"/>
        <w:jc w:val="left"/>
        <w:widowControl/>
        <w:ind w:left="360" w:hanging="360"/>
      </w:pPr>
      <w:r>
        <w:rPr>
          <w:rFonts w:ascii="Times New Roman" w:hAnsi="Times New Roman" w:eastAsia="Times New Roman" w:cs="Times New Roman"/>
          <w:sz w:val="20"/>
          <w:szCs w:val="20"/>
        </w:rPr>
        <w:t>[30] Taylor AJ, Dorobantu VD, Cosner RK, et al. Safety of sampled-data systems with control barrier functions via approximate discrete time models. In: Proceedings of the 61st IEEE conference on decision and control (CDC). 2022. p. 7127–34. doi:10.1109/CDC51059.2022.9993226</w:t>
      </w:r>
    </w:p>
    <w:p>
      <w:pPr>
        <w:pStyle w:val="18"/>
        <w:jc w:val="left"/>
        <w:widowControl/>
        <w:ind w:left="360" w:hanging="360"/>
      </w:pPr>
      <w:r>
        <w:rPr>
          <w:rFonts w:ascii="Times New Roman" w:hAnsi="Times New Roman" w:eastAsia="Times New Roman" w:cs="Times New Roman"/>
          <w:sz w:val="20"/>
          <w:szCs w:val="20"/>
        </w:rPr>
        <w:t>[31] Cosner RK, Yue Y, Ames AD. Robust safety under stochastic uncertainty with discrete-time control barrier functions. In: Proceedings of robotics: Science and systems (RSS). RSS Foundation; 2023. p. Paper 084. doi:10.15607/RSS.2023.XIX.084</w:t>
      </w:r>
    </w:p>
    <w:p>
      <w:pPr>
        <w:pStyle w:val="18"/>
        <w:jc w:val="left"/>
        <w:widowControl/>
        <w:ind w:left="360" w:hanging="360"/>
      </w:pPr>
      <w:r>
        <w:rPr>
          <w:rFonts w:ascii="Times New Roman" w:hAnsi="Times New Roman" w:eastAsia="Times New Roman" w:cs="Times New Roman"/>
          <w:sz w:val="20"/>
          <w:szCs w:val="20"/>
        </w:rPr>
        <w:t>[32] Lederer A, Umlauft J, Hirche S. Uniform error bounds for Gaussian process regression with application to safe control. In: Advances in neural information processing systems 32 (NeurIPS). Curran Associates Inc.; 2019. p. 659–69.</w:t>
      </w:r>
    </w:p>
    <w:p>
      <w:pPr>
        <w:pStyle w:val="18"/>
        <w:jc w:val="left"/>
        <w:widowControl/>
        <w:ind w:left="360" w:hanging="360"/>
      </w:pPr>
      <w:r>
        <w:rPr>
          <w:rFonts w:ascii="Times New Roman" w:hAnsi="Times New Roman" w:eastAsia="Times New Roman" w:cs="Times New Roman"/>
          <w:sz w:val="20"/>
          <w:szCs w:val="20"/>
        </w:rPr>
        <w:t>[33] Alburayt A, Syam WP. Bayesian machine learning for measurement noise estimation of focus variation microscopy instrument. Meas Control. 2026;59(6):857–69. doi:10.1177/00202940251374964</w:t>
      </w:r>
    </w:p>
    <w:p>
      <w:pPr>
        <w:pStyle w:val="18"/>
        <w:jc w:val="left"/>
        <w:widowControl/>
        <w:ind w:left="360" w:hanging="360"/>
      </w:pPr>
      <w:r>
        <w:rPr>
          <w:rFonts w:ascii="Times New Roman" w:hAnsi="Times New Roman" w:eastAsia="Times New Roman" w:cs="Times New Roman"/>
          <w:sz w:val="20"/>
          <w:szCs w:val="20"/>
        </w:rPr>
        <w:t>[34] Chowdhury SR, Gopalan A.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ns0:Relationships xmlns:ns0="http://schemas.openxmlformats.org/package/2006/relationships"><ns0:Relationship Type="http://schemas.openxmlformats.org/officeDocument/2006/relationships/numbering" Id="rId90" Target="numbering.xml" /><ns0:Relationship Type="http://schemas.openxmlformats.org/officeDocument/2006/relationships/styles" Id="rId89" Target="styles.xml" /><ns0:Relationship Type="http://schemas.openxmlformats.org/officeDocument/2006/relationships/settings" Id="rId88" Target="settings.xml" /><ns0:Relationship Type="http://schemas.openxmlformats.org/officeDocument/2006/relationships/webSettings" Id="rId87" Target="webSettings.xml" /><ns0:Relationship Type="http://schemas.openxmlformats.org/officeDocument/2006/relationships/fontTable" Id="rId86" Target="fontTable.xml" /><ns0:Relationship Type="http://schemas.openxmlformats.org/officeDocument/2006/relationships/theme" Id="rId85" Target="theme/theme1.xml" /><ns0:Relationship Type="http://schemas.openxmlformats.org/officeDocument/2006/relationships/footnotes" Id="rId84" Target="footnotes.xml" /><ns0:Relationship Type="http://schemas.openxmlformats.org/officeDocument/2006/relationships/image" Id="rId103" Target="media/rId103.png" /><ns0:Relationship Type="http://schemas.openxmlformats.org/officeDocument/2006/relationships/image" Id="rId142" Target="media/rId142.png" /><ns0:Relationship Type="http://schemas.openxmlformats.org/officeDocument/2006/relationships/image" Id="rId146" Target="media/rId146.png" /><ns0:Relationship Type="http://schemas.openxmlformats.org/officeDocument/2006/relationships/image" Id="rId127" Target="media/rId127.png" /><ns0:Relationship Type="http://schemas.openxmlformats.org/officeDocument/2006/relationships/image" Id="rId119" Target="media/rId119.png" /><ns0:Relationship Type="http://schemas.openxmlformats.org/officeDocument/2006/relationships/image" Id="rId123" Target="media/rId123.png" /><ns0:Relationship Type="http://schemas.openxmlformats.org/officeDocument/2006/relationships/image" Id="rId138" Target="media/rId138.png" /><ns0:Relationship Type="http://schemas.openxmlformats.org/officeDocument/2006/relationships/image" Id="rId132" Target="media/rId132.png" /></ns0:Relationships>
</file>

<file path=word/_rels/footnotes.xml.rels><?xml version='1.0' encoding='utf-8'?>
<ns0:Relationships xmlns:ns0="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