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Default Extension="odttf" ContentType="application/vnd.openxmlformats-officedocument.obfuscatedFont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core.xml" ContentType="application/vnd.openxmlformats-package.core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footnotes.xml" ContentType="application/vnd.openxmlformats-officedocument.wordprocessingml.footnotes+xml"/>
  <ns0:Override PartName="/word/media/rId33.png" ContentType="image/png"/>
  <ns0:Override PartName="/word/media/rId56.png" ContentType="image/png"/>
  <ns0:Override PartName="/word/media/rId76.png" ContentType="image/png"/>
  <ns0:Override PartName="/word/media/rId60.png" ContentType="image/png"/>
  <ns0:Override PartName="/word/media/rId48.png" ContentType="image/png"/>
  <ns0:Override PartName="/word/media/rId52.png" ContentType="image/png"/>
  <ns0:Override PartName="/word/media/rId82.png" ContentType="image/png"/>
  <ns0:Override PartName="/word/media/rId70.png" ContentType="image/png"/>
  <ns0:Override PartName="/word/media/rId65.png" ContentType="image/png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officeDocument/2006/math" xmlns:w="http://schemas.openxmlformats.org/wordprocessingml/2006/main">
  <w:body>
    <w:p>
      <w:pPr>
        <w:jc w:val="center"/>
      </w:pPr>
      <w:r>
        <w:rPr>
          <w:rFonts w:ascii="Times New Roman" w:hAnsi="Times New Roman" w:eastAsia="Times New Roman" w:cs="Times New Roman"/>
          <w:sz w:val="30"/>
          <w:szCs w:val="30"/>
          <w:b/>
          <w:bCs/>
        </w:rPr>
        <w:t>Supplemental Material for "Commissioning-Calibrated GP-HOCBF Safety Filtering for Ultra-Supercritical Boiler-Turbine Control under Model Mismatch"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 xml:space="preserve">Supplemental Material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Citation numbers follow the numbering of the main article.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S1 Native-Sample Safety and QP Diagnostics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All benchmark violation rates are evaluated at the native 1 s controller instants. A controller sample is counted once when any enforced barrier satisfies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k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&lt;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η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Each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η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has the common numerical value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2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the native unit of that barrier: MPa for pressure, kJ/kg for separator enthalpy, and MW for power. The test is applied separately to each unrounded constraint value; no minimum is taken across quantities with different units. These tolerances exclude numerical boundary roundoff. Episode-level event probabilities are not combined with these sample rates. Table S1 reports the corresponding count-level S3 diagnostics.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S1.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Count-level S3 diagnostics for the primary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validation. Each row aggregates 50 independent 500-sample rollouts. A rejected QP is non-converged, non-finite, or has maximum normalized primal residual above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6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1. Count-level S3 diagnostics for the primary \Delta g=0 validation. Each row aggregates 50 independent 500-sample rollouts. A rejected QP is non-converged, non-finite, or has maximum normalized primal residual above 10^{-6}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3300"/>
        <w:gridCol w:w="1750"/>
        <w:gridCol w:w="1750"/>
        <w:gridCol w:w="1700"/>
      </w:tblGrid>
      <w:tr>
        <w:trPr>
          <w:tblHeader w:val="on"/>
          <w:cantSplit/>
        </w:trPr>
        <w:tc>
          <w:tcPr>
            <w:tcW w:w="33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Method</w:t>
            </w:r>
          </w:p>
        </w:tc>
        <w:tc>
          <w:tcPr>
            <w:tcW w:w="17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Violating samples</w:t>
            </w:r>
          </w:p>
        </w:tc>
        <w:tc>
          <w:tcPr>
            <w:tcW w:w="17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rejected</w:t>
            </w:r>
          </w:p>
        </w:tc>
        <w:tc>
          <w:tcPr>
            <w:tcW w:w="1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intervention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HOCBF, no GP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9798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RoCBF-SF tune-selected,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41.32%</w:t>
            </w:r>
          </w:p>
        </w:tc>
      </w:tr>
      <w:tr>
        <w:trPr>
          <w:cantSplit/>
        </w:trPr>
        <w:tc>
          <w:tcPr>
            <w:tcW w:w="33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Full implemented-margin endpoint,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1</ns1:t>
              </ns1:r>
            </ns1:oMath>
          </w:p>
        </w:tc>
        <w:tc>
          <w:tcPr>
            <w:tcW w:w="17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9798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 of 25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000</w:t>
            </w:r>
          </w:p>
        </w:tc>
        <w:tc>
          <w:tcPr>
            <w:tcW w:w="1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tune-selected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row has no rejected QP in S3. The full implemented-margin row rejects every S3 QP, reverts to the upstream proposal, and consequently reproduces the no-GP violation count. This endpoint does not satisfy the robust-QP-feasibility assumption of Theorem 1.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S2 Robustness-Factor Tune/Test Separation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Tune seeds 0–2 each contain 10 episodes of 500 controller samples. Thus, each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setting contains 15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tune samples. The predeclared selector is the smallest setting for which both pooled and maximum-per-seed violation rates are below 1% and both pooled and maximum-per-seed QP-rejection rates are below 0.5%. Table S2 gives the complete candidate-level selection data.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S2.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Tune-seed selection data. Rates are percentages of native controller samples. Wilson upper limits are descriptive Bernoulli-reference values; adjacent samples are serially correlated.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2. Tune-seed selection data. Rates are percentages of native controller samples. Wilson upper limits are descriptive Bernoulli-reference values; adjacent samples are serially correlated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850"/>
        <w:gridCol w:w="1650"/>
        <w:gridCol w:w="1300"/>
        <w:gridCol w:w="1800"/>
        <w:gridCol w:w="1400"/>
        <w:gridCol w:w="1500"/>
      </w:tblGrid>
      <w:tr>
        <w:trPr>
          <w:tblHeader w:val="on"/>
          <w:cantSplit/>
        </w:trPr>
        <w:tc>
          <w:tcPr>
            <w:tcW w:w="8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</ns1:oMath>
          </w:p>
        </w:tc>
        <w:tc>
          <w:tcPr>
            <w:tcW w:w="1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Violation count (rate)</w:t>
            </w:r>
          </w:p>
        </w:tc>
        <w:tc>
          <w:tcPr>
            <w:tcW w:w="13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Max. seed violation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rejection count (rate)</w:t>
            </w:r>
          </w:p>
        </w:tc>
        <w:tc>
          <w:tcPr>
            <w:tcW w:w="1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Max. seed rejection</w:t>
            </w:r>
          </w:p>
        </w:tc>
        <w:tc>
          <w:tcPr>
            <w:tcW w:w="15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0.01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0.02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0.05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0.10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 (0.000)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 (0.087)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0.120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Yes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0.20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4849 (32.327)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37.540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11220 (74.800)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87.660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0.50</w:t>
            </w:r>
          </w:p>
        </w:tc>
        <w:tc>
          <w:tcPr>
            <w:tcW w:w="1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5663 (37.753)</w:t>
            </w:r>
          </w:p>
        </w:tc>
        <w:tc>
          <w:tcPr>
            <w:tcW w:w="13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40.140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14972 (99.813)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99.880</w:t>
            </w:r>
          </w:p>
        </w:tc>
        <w:tc>
          <w:tcPr>
            <w:tcW w:w="1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  <w:tr>
        <w:trPr>
          <w:cantSplit/>
        </w:trPr>
        <w:tc>
          <w:tcPr>
            <w:tcW w:w="8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1.00</w:t>
            </w:r>
          </w:p>
        </w:tc>
        <w:tc>
          <w:tcPr>
            <w:tcW w:w="1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5648 (37.653)</w:t>
            </w:r>
          </w:p>
        </w:tc>
        <w:tc>
          <w:tcPr>
            <w:tcW w:w="13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40.000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15000 (100.000)</w:t>
            </w:r>
          </w:p>
        </w:tc>
        <w:tc>
          <w:tcPr>
            <w:tcW w:w="14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100.000</w:t>
            </w:r>
          </w:p>
        </w:tc>
        <w:tc>
          <w:tcPr>
            <w:tcW w:w="15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No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selector fixes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before evaluating seeds 3–4. Each held-out seed contains 25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samples. Both seeds record zero counted violations under the per-constraint tolerances and zero rejected QPs, giving pooled counts of 0/50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for both diagnostics. The descriptive 95% Wilson upper reference for 0/15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tune-set violations is 0.0256%; serial correlation prevents interpreting this value as an independent-trial confidence bound. No holdout result is used to change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zero observed events are not presented as zero event probability.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S3 GP Residual Definition and Commissioning Data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benchmark and deployed GP use the same three-dimensional kernel input,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[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N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e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</ns1:sub>
                </ns1:sSub>
                <ns1:sSup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]</ns1:t>
                    </ns1:r>
                  </ns1:e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⊤</ns1:t>
                    </ns1:r>
                  </ns1:sup>
                </ns1:s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(S1)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nominal predictor uses the complete seven-state vector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r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B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τ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f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D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f</ns1:t>
            </ns1:r>
            <ns1:r>
              <w:rPr>
                <w:rFonts w:ascii="Times New Roman" w:hAnsi="Times New Roman" w:eastAsia="Times New Roman" w:cs="Times New Roman"/>
              </w:rPr>
              <ns1:t>w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u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t</ns1:t>
            </ns1:r>
          </ns1:sub>
        </ns1:sSub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⊤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 all three proposed control commands. The three learning targets are residual rates,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y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k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+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f>
                  <ns1:fPr>
                    <ns1:type ns1:val="bar"/>
                  </ns1:fPr>
                  <ns1:num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x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sSubSup>
                      <ns1:e>
                        <ns1:acc>
                          <ns1:accPr>
                            <ns1:chr ns1:val="̂"/>
                          </ns1:accPr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</ns1:acc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</ns1:sub>
                      <ns1: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n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o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m</ns1:t>
                        </ns1:r>
                      </ns1:sup>
                    </ns1:sSubSup>
                  </ns1:num>
                  <ns1:den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T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s</ns1:t>
                        </ns1:r>
                      </ns1:sub>
                    </ns1:sSub>
                  </ns1:den>
                </ns1:f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  </ns1:t>
                </ns1:r>
                <ns1:r>
                  <w:rPr>
                    <w:rFonts w:ascii="Times New Roman" w:hAnsi="Times New Roman" w:eastAsia="Times New Roman" w:cs="Times New Roman"/>
                  </w:rPr>
                  <ns1:t>j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∈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{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m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N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e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}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(S2)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Kernel distances use the frozen training transform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n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n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each residual target is standardized by its training mean and standard deviation. The transforms are not updated online.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plant commissioning record contains approximately 14 days of 1 Hz historian and commissioning data (about 1.21 million state transitions). Stops, manual operation, communication faults, stale measurements, interlock action, missing values, and identified bad points are removed, leaving approximately 250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candidate transitions. Days 1–10 form the training candidate pool; day 11 is a 24 h isolation gap; and days 12–14 form the independent validation pool. Normalization parameters and kernel hyperparameters use only days 1–10. Table S3 specifies the fixed load-stratum quotas used for coverage selection.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S3.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Fixed plant-GP load strata and quotas. Candidates are separated by at least 60 s and selected by deterministic farthest-point coverage in standardized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space. Quotas are not borrowed between strata. The upper stratum is a coverage bin and does not assert an exact 660 MW steady validation window.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3. Fixed plant-GP load strata and quotas. Candidates are separated by at least 60 s and selected by deterministic farthest-point coverage in standardized (p_m,h_m,N_e) space. Quotas are not borrowed between strata. The upper stratum is a coverage bin and does not assert an exact 660 MW steady validation window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3100"/>
        <w:gridCol w:w="2700"/>
        <w:gridCol w:w="2700"/>
      </w:tblGrid>
      <w:tr>
        <w:trPr>
          <w:tblHeader w:val="on"/>
          <w:cantSplit/>
        </w:trPr>
        <w:tc>
          <w:tcPr>
            <w:tcW w:w="3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Generator-load stratum (MW)</w:t>
            </w:r>
          </w:p>
        </w:tc>
        <w:tc>
          <w:tcPr>
            <w:tcW w:w="2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Training points</w:t>
            </w:r>
          </w:p>
        </w:tc>
        <w:tc>
          <w:tcPr>
            <w:tcW w:w="27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Validation points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180–264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264–363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363–462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462–561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561–660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27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w="3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Total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200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Three independent exact Matérn-5/2 GPs are trained and frozen after offline replay. The deployed dictionary remains at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500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; online sample growth is zero. Models are reviewed quarterly and after major maintenance or a material coal-source change. The current and previous stable versions are retained for rollback. Exact-GP storage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O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q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2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 offline retraining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O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q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q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3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outputs. Three float32 Cholesky factors occupy approximately 3 MB; training arrays, coefficients, and kernel parameters occupy approximately 10–20 MB. The deployed JAX process has a larger runtime resident set (approximately 0.5–2 GB), but this does not grow with online operation because the dictionary is frozen.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controlled sensitivity experiment uses five independent seeds. Each of the nine dictionary-size–corruption settings therefore comprises five seeded fit-and-evaluation runs (45 runs in total). Each run fits three scalar-output GPs, one for each component of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h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N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e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]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giving 135 scalar GP fits. It then evaluates 200 held-out transitions and one 500-sample S3 closed-loop rollout. Corruption replaces 5% or 10% of selected training targets by signed three-training-standard-deviation offsets; it does not represent a measured plant bad-point rate. Table S4 reports the held-out and closed-loop sensitivity results.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S4.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GP quantity/quality sensitivity. NRMSE and interval coverage are averaged over outputs and seeds. Closed-loop columns aggregate 2500 native controller samples per cell.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4. GP quantity/quality sensitivity. NRMSE and interval coverage are averaged over outputs and seeds. Closed-loop columns aggregate 2500 native controller samples per cell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650"/>
        <w:gridCol w:w="1100"/>
        <w:gridCol w:w="1100"/>
        <w:gridCol w:w="1250"/>
        <w:gridCol w:w="1550"/>
        <w:gridCol w:w="1450"/>
        <w:gridCol w:w="1400"/>
      </w:tblGrid>
      <w:tr>
        <w:trPr>
          <w:tblHeader w:val="on"/>
          <w:cantSplit/>
        </w:trPr>
        <w:tc>
          <w:tcPr>
            <w:tcW w:w="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ns1:oMath>
              <ns1:r>
                <w:rPr>
                  <w:rFonts w:ascii="Times New Roman" w:hAnsi="Times New Roman" w:eastAsia="Times New Roman" w:cs="Times New Roman"/>
                </w:rPr>
                <ns1:t>N</ns1:t>
              </ns1:r>
            </ns1:oMath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Target corruption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Held-out NRMSE</w:t>
            </w:r>
          </w:p>
        </w:tc>
        <w:tc>
          <w:tcPr>
            <w:tcW w:w="12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 coverage</w:t>
            </w:r>
          </w:p>
        </w:tc>
        <w:tc>
          <w:tcPr>
            <w:tcW w:w="15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Violation,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4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rejection,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ϵ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κ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=</ns1:t>
              </ns1:r>
              <ns1:r>
                <w:rPr>
                  <w:rFonts w:ascii="Times New Roman" w:hAnsi="Times New Roman" w:eastAsia="Times New Roman" w:cs="Times New Roman"/>
                </w:rPr>
                <ns1:t>0</ns1:t>
              </ns1:r>
            </ns1:oMath>
          </w:p>
        </w:tc>
        <w:tc>
          <w:tcPr>
            <w:tcW w:w="1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 intervention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0.00090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41.80%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0.00055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41.76%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0.00046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100.00%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41.76%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0.54291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96.03%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20.24%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6.76%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24.00%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0.41965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97.13%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5.76%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4.04%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37.12%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0.06085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99.90%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41.92%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0.66568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96.37%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15.12%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8.60%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27.16%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250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0.44662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97.03%</w:t>
            </w:r>
          </w:p>
        </w:tc>
        <w:tc>
          <w:tcPr>
            <w:tcW w:w="15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13.16%</w:t>
            </w:r>
          </w:p>
        </w:tc>
        <w:tc>
          <w:tcPr>
            <w:tcW w:w="14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5.88%</w:t>
            </w:r>
          </w:p>
        </w:tc>
        <w:tc>
          <w:tcPr>
            <w:tcW w:w="1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33.20%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500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10%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0.08745</w:t>
            </w:r>
          </w:p>
        </w:tc>
        <w:tc>
          <w:tcPr>
            <w:tcW w:w="12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99.80%</w:t>
            </w:r>
          </w:p>
        </w:tc>
        <w:tc>
          <w:tcPr>
            <w:tcW w:w="15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0.00%</w:t>
            </w:r>
          </w:p>
        </w:tc>
        <w:tc>
          <w:tcPr>
            <w:tcW w:w="14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41.32%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corrupted fits are deliberately evaluated without the pre-enable data-quality gate. The 100- and 250-point dictionaries show increased violations and QP rejection, while the 500-point dictionary retains zero counted violations under the per-constraint tolerances and no rejection under both bounded fault-injection levels. The comparison therefore tests the joint effects of dictionary coverage and target quality; it does not imply that every corrupted fit fails or that the 500-point model is robust to arbitrary bad data. In deployment, held-out residual, coverage, and QP-feasibility checks are all required before a model receives write authority.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S4 Coverage Monitoring and Fallback State Machine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online input-coverage statistic and standardized innovation are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eqArr>
                  <ns1:e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z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i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</ns1:sub>
                    </ns1:sSub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G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P</ns1:t>
                            </ns1:r>
                          </ns1:sup>
                        </ns1:sSub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μ</ns1:t>
                            </ns1:r>
                          </ns1:e>
                          <ns1:sub>
                            <ns1:sSub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i</ns1:t>
                                </ns1:r>
                              </ns1:sub>
                            </ns1:sSub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a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</ns1:sup>
                        </ns1:sSubSup>
                      </ns1:num>
                      <ns1:den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s</ns1:t>
                            </ns1:r>
                          </ns1:e>
                          <ns1:sub>
                            <ns1:sSub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i</ns1:t>
                                </ns1:r>
                              </ns1:sub>
                            </ns1:sSub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a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i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</ns1:sup>
                        </ns1:sSubSup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e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r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μ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(</ns1:t>
                        </ns1:r>
                        <ns1:sSubSup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G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P</ns1:t>
                            </ns1:r>
                          </ns1:sup>
                        </ns1:sSubSup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)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|</ns1:t>
                        </ns1:r>
                      </ns1:num>
                      <ns1:den>
                        <ns1:rad>
                          <ns1:radPr>
                            <ns1:degHide ns1:val="on"/>
                          </ns1:radPr>
                          <ns1:deg/>
                          <ns1:e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σ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j</ns1:t>
                                </ns1:r>
                              </ns1:sub>
                              <ns1: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2</ns1:t>
                                </ns1:r>
                              </ns1:sup>
                            </ns1:sSub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(</ns1:t>
                            </ns1:r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k</ns1:t>
                                </ns1:r>
                              </ns1:sub>
                              <ns1:sup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G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P</ns1:t>
                                </ns1:r>
                              </ns1:sup>
                            </ns1:sSub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)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sSubSup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σ</ns1:t>
                                </ns1:r>
                              </ns1:e>
                              <ns1:sub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n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,</ns1:t>
                                </ns1:r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j</ns1:t>
                                </ns1:r>
                              </ns1:sub>
                              <ns1: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2</ns1:t>
                                </ns1:r>
                              </ns1:sup>
                            </ns1:sSubSup>
                          </ns1:e>
                        </ns1:rad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sSub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r</ns1:t>
                        </ns1:r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j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,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k</ns1:t>
                        </ns1:r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+</ns1:t>
                        </ns1:r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1</ns1:t>
                        </ns1:r>
                      </ns1:sub>
                    </ns1:s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=</ns1:t>
                    </ns1:r>
                    <ns1:f>
                      <ns1:fPr>
                        <ns1:type ns1:val="bar"/>
                      </ns1:fPr>
                      <ns1:num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x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</ns1:sub>
                        </ns1:sSub>
                        <ns1:r>
                          <ns1:rPr>
                            <ns1:sty ns1:val="p"/>
                          </ns1:rPr>
                          <w:rPr>
                            <w:rFonts w:ascii="Times New Roman" w:hAnsi="Times New Roman" w:eastAsia="Times New Roman" w:cs="Times New Roman"/>
                          </w:rPr>
                          <ns1:t>−</ns1:t>
                        </ns1:r>
                        <ns1:sSubSup>
                          <ns1:e>
                            <ns1:acc>
                              <ns1:accPr>
                                <ns1:chr ns1:val="̂"/>
                              </ns1:accPr>
                              <ns1:e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x</ns1:t>
                                </ns1:r>
                              </ns1:e>
                            </ns1:acc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j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,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+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1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|</ns1:t>
                            </ns1:r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k</ns1:t>
                            </ns1:r>
                          </ns1:sub>
                          <ns1:sup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n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o</ns1:t>
                            </ns1:r>
                            <ns1:r>
                              <ns1:rPr>
                                <ns1:sty ns1:val="p"/>
                              </ns1:rPr>
                              <w:rPr>
                                <w:rFonts w:ascii="Times New Roman" w:hAnsi="Times New Roman" w:eastAsia="Times New Roman" w:cs="Times New Roman"/>
                              </w:rPr>
                              <ns1:t>m</ns1:t>
                            </ns1:r>
                          </ns1:sup>
                        </ns1:sSubSup>
                      </ns1:num>
                      <ns1:den>
                        <ns1:sSub>
                          <ns1:e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T</ns1:t>
                            </ns1:r>
                          </ns1:e>
                          <ns1:sub>
                            <ns1:r>
                              <w:rPr>
                                <w:rFonts w:ascii="Times New Roman" w:hAnsi="Times New Roman" w:eastAsia="Times New Roman" w:cs="Times New Roman"/>
                              </w:rPr>
                              <ns1:t>s</ns1:t>
                            </ns1:r>
                          </ns1:sub>
                        </ns1:sSub>
                      </ns1:den>
                    </ns1:f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.</ns1:t>
                    </ns1:r>
                  </ns1:e>
                </ns1:eqAr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(S3)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Here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r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k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+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n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all have residual-rate units. Because the deployed sampling period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T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s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s, this notation correction does not change the reported numerical thresholds. Table S5 lists the monitor triggers and associated supervisory actions.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S5.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GP coverage and degradation thresholds used by the deployed supervisor.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5. GP coverage and degradation thresholds used by the deployed supervisor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1900"/>
        <w:gridCol w:w="2800"/>
        <w:gridCol w:w="3800"/>
      </w:tblGrid>
      <w:tr>
        <w:trPr>
          <w:tblHeader w:val="on"/>
          <w:cantSplit/>
        </w:trPr>
        <w:tc>
          <w:tcPr>
            <w:tcW w:w="19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Monitor</w:t>
            </w:r>
          </w:p>
        </w:tc>
        <w:tc>
          <w:tcPr>
            <w:tcW w:w="2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Trigger</w:t>
            </w:r>
          </w:p>
        </w:tc>
        <w:tc>
          <w:tcPr>
            <w:tcW w:w="3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Action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Input coverage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|</ns1:t>
              </ns1:r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z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i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|</ns1:t>
              </ns1:r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3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or outside the training 0.5th–99.5th percentile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Enter full-row nominal-HOCBF mode.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Posterior uncertainty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Above the validation-set 99th percentile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Withdraw GP mean correction.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Standardized innovation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e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j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3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for three cycles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Withdraw GP mean correction and alarm.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Severe innovation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Any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ns1:oMath>
              <ns1:sSub>
                <ns1:e>
                  <ns1:r>
                    <w:rPr>
                      <w:rFonts w:ascii="Times New Roman" w:hAnsi="Times New Roman" w:eastAsia="Times New Roman" w:cs="Times New Roman"/>
                    </w:rPr>
                    <ns1:t>e</ns1:t>
                  </ns1:r>
                </ns1:e>
                <ns1:sub>
                  <ns1:r>
                    <w:rPr>
                      <w:rFonts w:ascii="Times New Roman" w:hAnsi="Times New Roman" w:eastAsia="Times New Roman" w:cs="Times New Roman"/>
                    </w:rPr>
                    <ns1:t>j</ns1:t>
                  </ns1:r>
                </ns1:sub>
              </ns1:sSub>
              <ns1:r>
                <ns1:rPr>
                  <ns1:sty ns1:val="p"/>
                </ns1:rPr>
                <w:rPr>
                  <w:rFonts w:ascii="Times New Roman" w:hAnsi="Times New Roman" w:eastAsia="Times New Roman" w:cs="Times New Roman"/>
                </w:rPr>
                <ns1:t>&gt;</ns1:t>
              </ns1:r>
              <ns1:r>
                <w:rPr>
                  <w:rFonts w:ascii="Times New Roman" w:hAnsi="Times New Roman" w:eastAsia="Times New Roman" w:cs="Times New Roman"/>
                </w:rPr>
                <ns1:t>5</ns1:t>
              </ns1:r>
            </ns1:oMath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once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Immediate live-DCS bypass.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Persistent OOD</w:t>
            </w:r>
          </w:p>
        </w:tc>
        <w:tc>
          <w:tcPr>
            <w:tcW w:w="2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More than 1% of cycles in one hour</w:t>
            </w:r>
          </w:p>
        </w:tc>
        <w:tc>
          <w:tcPr>
            <w:tcW w:w="3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Create an offline recalibration task.</w:t>
            </w:r>
          </w:p>
        </w:tc>
      </w:tr>
      <w:tr>
        <w:trPr>
          <w:cantSplit/>
        </w:trPr>
        <w:tc>
          <w:tcPr>
            <w:tcW w:w="19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Recovery</w:t>
            </w:r>
          </w:p>
        </w:tc>
        <w:tc>
          <w:tcPr>
            <w:tcW w:w="2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Ten consecutive cycles with valid input, innovation, and variance checks</w:t>
            </w:r>
          </w:p>
        </w:tc>
        <w:tc>
          <w:tcPr>
            <w:tcW w:w="3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Permit GP-mode recovery subject to controller authorization.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Moderate coverage loss follows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eqArr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GP-RoCBF-SF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for at most 10 cycles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GP-RoCBF-SF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after 10 healthy cycles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</ns1:e>
                  <ns1:e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nominal HOCBF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&amp;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BYPASS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→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live DCS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 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ns1:rPr>
                        <ns1:nor/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otherwise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.</ns1:t>
                    </ns1:r>
                  </ns1:e>
                </ns1:eqAr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(S4)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Invalid measurements or communication, non-finite/model-load faults, nominal-QP or actuator-constraint infeasibility, a direct physical-bound exceedance, pressure-low physical margin below 2.0 MPa, or a QP/task timeout bypasses the bounded degraded stage immediately. The nominal-HOCBF interval has no GP coverage claim.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An initially infeasible QP permits one reduced-QP retry only for the whitelisted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pressure_low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row. Let the physical command deviation be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d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with normalized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1</ns1:t>
        </ns1:r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transformed row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acc>
              <ns1:accPr>
                <ns1:chr ns1:val="̃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G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 authority measure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a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acc>
              <ns1:accPr>
                <ns1:chr ns1:val="̃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G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Row removal requires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w:rPr>
                    <w:rFonts w:ascii="Times New Roman" w:hAnsi="Times New Roman" w:eastAsia="Times New Roman" w:cs="Times New Roman"/>
                  </w:rPr>
                  <ns1:t>i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nor/>
                    <ns1:scr ns1:val="monospace"/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pressure_low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a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&lt;</ns1:t>
                </ns1:r>
                <ns1:r>
                  <w:rPr>
                    <w:rFonts w:ascii="Times New Roman" w:hAnsi="Times New Roman" w:eastAsia="Times New Roman" w:cs="Times New Roman"/>
                  </w:rPr>
                  <ns1:t>0.01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h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&lt;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−</ns1:t>
                </ns1:r>
                <ns1:s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10</ns1:t>
                    </ns1:r>
                  </ns1:e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6</ns1:t>
                    </ns1:r>
                  </ns1:sup>
                </ns1:s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  <ns1:r>
                  <w:rPr>
                    <w:rFonts w:ascii="Times New Roman" w:hAnsi="Times New Roman" w:eastAsia="Times New Roman" w:cs="Times New Roman"/>
                  </w:rPr>
                  <ns1:t> </ns1:t>
                </ns1:r>
                <ns1: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w:rPr>
                    <w:rFonts w:ascii="Times New Roman" w:hAnsi="Times New Roman" w:eastAsia="Times New Roman" w:cs="Times New Roman"/>
                  </w:rPr>
                  <ns1:t>M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−</ns1:t>
                </ns1:r>
                <ns1: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w:rPr>
                    <w:rFonts w:ascii="Times New Roman" w:hAnsi="Times New Roman" w:eastAsia="Times New Roman" w:cs="Times New Roman"/>
                  </w:rPr>
                  <ns1:t>L</ns1:t>
                </ns1:r>
                <ns1:r>
                  <w:rPr>
                    <w:rFonts w:ascii="Times New Roman" w:hAnsi="Times New Roman" w:eastAsia="Times New Roman" w:cs="Times New Roman"/>
                  </w:rPr>
                  <ns1:t>O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≥</ns1:t>
                </ns1:r>
                <ns1:r>
                  <w:rPr>
                    <w:rFonts w:ascii="Times New Roman" w:hAnsi="Times New Roman" w:eastAsia="Times New Roman" w:cs="Times New Roman"/>
                  </w:rPr>
                  <ns1:t>2.0</ns1:t>
                </ns1:r>
                <ns1:r>
                  <w:rPr>
                    <w:rFonts w:ascii="Times New Roman" w:hAnsi="Times New Roman" w:eastAsia="Times New Roman" w:cs="Times New Roman"/>
                  </w:rPr>
                  <ns1:t> 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M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P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a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,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(S5)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with valid measurements and no active protection or interlock. The authority norm is evaluated after actuator normalization but before unit-row scaling. No actuator box/rate row or second CBF row can be removed, and only one retry is permitted. A successful reduced QP is reported as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optimal_recovered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; it is outside the full-row certificate.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deployed task deadline is 1000 ms, equal to the controller period. The field QP timeout is 200 ms. A timeout, non-finite result, or failed retry returns the current live DCS command rather than the previous algorithm command. Three consecutive solve failures, communication loss beyond 3 s, a process restart, or a model-load fault latches bypass. Re-entry requires valid measurements, heartbeats, and dry-run QPs for ten cycles, DCS automatic mode, inactive protection/interlocks, operator reset acknowledgement, and the active Kubernetes lease. A 10 s linear blend is then used for bumpless transfer, provided the QP and DCS commands differ by no more than 2% of actuator range and both lie in the current feasible set.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Kubernetes uses a 3 s Lease renewed every 1 s. Only the lease holder may assert the local write permit; standby Pods connect to Modbus TCP read-only. The DCS remains the final write-permission owner and requires enable, automatic mode, no manual mode, valid echoed heartbeat with age no greater than 2 s, active lease ownership, and a fresh command sequence. Loss of any condition selects the live coordinated-control command.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S5 Plant Historian and Controller-Export Evidence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public production-evidence index separates historian context from controller execution. MW01–MW03 are post-retrofit low-to-mid-load historian windows used only to position measured load and main-steam pressure in the operating-envelope figure; they do not supply controller-internal QP fields. MW04–MW06 are confirmed two-hour plant-controller exports covering 480.7–629.7 MW. Each contains 1440 records at 5 s export spacing from a controller executing at 1 s, giving 4320 exported records rather than 4320 controller cycles. These exports directly support the timestamps, operating mode, QP/recovery status, logged margins, saturation flags, and timing statistics reported below. GP lifecycle, Kubernetes lease ownership, heartbeat/sequence checks, and DCS write-permission rules are deployment-configuration specifications; the exports do not expose every internal handshake transition.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confirmed controller/historian mappings used in the revision are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w:rPr>
            <w:rFonts w:ascii="Times New Roman" w:hAnsi="Times New Roman" w:eastAsia="Times New Roman" w:cs="Times New Roman"/>
          </w:rPr>
          <ns1:t>E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20CQTP_MW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DCS2_20HAG10CP101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H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↔</ns1:t>
        </ns1:r>
        <ns1:r>
          <ns1:rPr>
            <ns1:nor/>
            <ns1:scr ns1:val="monospace"/>
            <ns1:sty ns1:val="p"/>
          </ns1:rPr>
          <w:rPr>
            <w:rFonts w:ascii="Times New Roman" w:hAnsi="Times New Roman" w:eastAsia="Times New Roman" w:cs="Times New Roman"/>
          </w:rPr>
          <ns1:t>DCS2_SEPARATOUT_ENTH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independent tag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DCS2_MAIN_PRESS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main-steam pressure. The exported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PST_HI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value is a main-steam-pressure replay bound, not the separator-pressure upper limit.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cohort analysis uses 300 s historian records from 2024–2025 and 25 June–5 July 2026. Two-hour windows contain 24 consecutive records and advance every 30 min. All 24 load samples must lie in 195–700 MW; this upper value is a permissive data-quality screen, not a reported operating endpoint. Pressure, pressure setpoint, and fuel flow must be finite, pressure channels must lie in 5–35 MPa, and fuel flow must be positive. One-to-one matching without replacement minimizes a standardized sum of squared differences in mean load, 24-point load-profile RMSE, load range, and mean fuel/load ratio. The respective calipers are 10, 30, and 40 MW and 0.08. The complete derived pair table and hashes of the 24 monthly pre-retrofit query files and the post-retrofit query file are included in the reproducibility package. Table S6 summarizes the recomputed matched cohort and its descriptive intervals.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S6.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Recomputed load-matched historian cohort. Windows overlap because they advance every 30 min; the post-day cluster-bootstrap intervals are therefore descriptive and are not randomized-treatment confidence intervals.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6. Recomputed load-matched historian cohort. Windows overlap because they advance every 30 min; the post-day cluster-bootstrap intervals are therefore descriptive and are not randomized-treatment confidence intervals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2500"/>
        <w:gridCol w:w="1800"/>
        <w:gridCol w:w="1800"/>
        <w:gridCol w:w="2400"/>
      </w:tblGrid>
      <w:tr>
        <w:trPr>
          <w:tblHeader w:val="on"/>
          <w:cantSplit/>
        </w:trPr>
        <w:tc>
          <w:tcPr>
            <w:tcW w:w="25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Quantity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Pre-retrofit</w:t>
            </w:r>
          </w:p>
        </w:tc>
        <w:tc>
          <w:tcPr>
            <w:tcW w:w="18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Post-retrofit</w:t>
            </w:r>
          </w:p>
        </w:tc>
        <w:tc>
          <w:tcPr>
            <w:tcW w:w="24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Difference or interval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Loaded candidate windows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14,675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517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512 one-to-one pairs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Unique calendar days in pairs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193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11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Pressure-residual standard deviation, median (MPa)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0.523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0.502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3.93% reduction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Absolute pressure-residual p95, median (MPa)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1.082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1.085</w:t>
            </w:r>
          </w:p>
        </w:tc>
        <w:tc>
          <w:tcPr>
            <w:tcW w:w="24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0.30% increase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Pair fraction with lower standard deviation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55.27%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Pair fraction with lower absolute-error p95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–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59.18%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Post-day cluster bootstrap, standard-deviation reduction</w:t>
            </w:r>
          </w:p>
        </w:tc>
        <w:tc>
          <w:tcPr>
            <w:tcW w:w="1800" w:type="dxa"/>
            <w:gridSpan w:val="2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10,000 resamples</w:t>
            </w:r>
          </w:p>
        </w:tc>
        <w:tc>
          <w:tcPr>
            <w:tcW w:w="18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>[-13.0,14.7]%</w:t>
            </w:r>
          </w:p>
        </w:tc>
      </w:tr>
      <w:tr>
        <w:trPr>
          <w:cantSplit/>
        </w:trPr>
        <w:tc>
          <w:tcPr>
            <w:tcW w:w="25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Post-day cluster bootstrap, p95 reduction</w:t>
            </w:r>
          </w:p>
        </w:tc>
        <w:tc>
          <w:tcPr>
            <w:tcW w:w="1800" w:type="dxa"/>
            <w:gridSpan w:val="2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10,000 resamples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95% interval</w:t>
            </w: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>[-9.4,13.1]%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Median pair-quality diagnostics are 1.32 MW mean-load difference, 15.37 MW load-profile RMSE, 5.24 MW load-range difference, and 0.0115 fuel/load difference. The broad cluster-bootstrap intervals in Table S6 show that the cohort supports operating-context consistency but not a precise population effect estimate. The native 5 s pair in the main article provides the higher-resolution response diagnostic; the controller exports separately establish online filter execution. Table S7 then summarizes the separate high-load controller-export evidence.</w:t>
      </w:r>
    </w:p>
    <w:p>
      <w:pPr>
        <w:jc w:val="left"/>
        <w:widowControl/>
        <w:spacing w:before="80" w:after="12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b/>
          <w:bCs/>
        </w:rPr>
        <w:t xml:space="preserve">Table S7.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High-load controller-export evidence. Direct margins are minima over all 1440 records in each window.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“None”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the status column denotes no reduced-QP recovery and no saturation flag.</w:t>
      </w:r>
    </w:p>
    <w:tbl>
      <w:tblPr>
        <w:tblStyle w:val="Table"/>
        <w:tblW w:type="dxa" w:w="8500"/>
        <w:tblLook w:firstRow="1" w:lastRow="0" w:firstColumn="0" w:lastColumn="0" w:noHBand="0" w:noVBand="0" w:val="0020"/>
        <w:tblCaption w:val="Table S7. High-load controller-export evidence. Direct margins are minima over all 1440 records in each window. “None” in the status column denotes no reduced-QP recovery and no saturation flag."/>
        <w:jc w:val="center"/>
        <w:tblLayout w:type="fixed"/>
        <w:tblCellMar>
          <w:left w:w="45" w:type="dxa"/>
          <w:right w:w="45" w:type="dxa"/>
        </w:tblCellMar>
        <w:tblBorders>
          <w:top w:val="single" w:sz="10" w:space="0" w:color="000000"/>
          <w:bottom w:val="single" w:sz="10" w:space="0" w:color="000000"/>
          <w:left w:val="nil"/>
          <w:right w:val="nil"/>
          <w:insideH w:val="nil"/>
          <w:insideV w:val="nil"/>
        </w:tblBorders>
      </w:tblPr>
      <w:tblGrid>
        <w:gridCol w:w="650"/>
        <w:gridCol w:w="1250"/>
        <w:gridCol w:w="1100"/>
        <w:gridCol w:w="1100"/>
        <w:gridCol w:w="1150"/>
        <w:gridCol w:w="1900"/>
        <w:gridCol w:w="1350"/>
      </w:tblGrid>
      <w:tr>
        <w:trPr>
          <w:tblHeader w:val="on"/>
          <w:cantSplit/>
        </w:trPr>
        <w:tc>
          <w:tcPr>
            <w:tcW w:w="6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Window</w:t>
            </w:r>
          </w:p>
        </w:tc>
        <w:tc>
          <w:tcPr>
            <w:tcW w:w="12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Load (MW)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Sep.-pressure low margin (MPa)</w:t>
            </w:r>
          </w:p>
        </w:tc>
        <w:tc>
          <w:tcPr>
            <w:tcW w:w="11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Main-pressure high margin (MPa)</w:t>
            </w:r>
          </w:p>
        </w:tc>
        <w:tc>
          <w:tcPr>
            <w:tcW w:w="11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Nearest enthalpy margin (kJ/kg)</w:t>
            </w:r>
          </w:p>
        </w:tc>
        <w:tc>
          <w:tcPr>
            <w:tcW w:w="190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QP/recovery record</w:t>
            </w:r>
          </w:p>
        </w:tc>
        <w:tc>
          <w:tcPr>
            <w:tcW w:w="1350" w:type="dxa"/>
            <w:tcBorders>
              <w:left w:val="nil"/>
              <w:right w:val="nil"/>
              <w:insideH w:val="nil"/>
              <w:insideV w:val="nil"/>
              <w:top w:val="single" w:sz="10" w:space="0" w:color="000000"/>
              <w:bottom w:val="single" w:sz="8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QP/task p95 (ms)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MW04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563.0–621.2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2.217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2.173</w:t>
            </w:r>
          </w:p>
        </w:tc>
        <w:tc>
          <w:tcPr>
            <w:tcW w:w="11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62.284</w:t>
            </w:r>
          </w:p>
        </w:tc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1397 optimal; 43 recovered; 1 fuel-sat.</w:t>
            </w:r>
          </w:p>
        </w:tc>
        <w:tc>
          <w:tcPr>
            <w:tcW w:w="13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4.195 / 26.238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MW05</w:t>
            </w:r>
          </w:p>
        </w:tc>
        <w:tc>
          <w:tcPr>
            <w:tcW w:w="12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547.9–629.7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3.438</w:t>
            </w:r>
          </w:p>
        </w:tc>
        <w:tc>
          <w:tcPr>
            <w:tcW w:w="11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1.483</w:t>
            </w:r>
          </w:p>
        </w:tc>
        <w:tc>
          <w:tcPr>
            <w:tcW w:w="11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20.354</w:t>
            </w:r>
          </w:p>
        </w:tc>
        <w:tc>
          <w:tcPr>
            <w:tcW w:w="19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1440 optimal; none</w:t>
            </w:r>
          </w:p>
        </w:tc>
        <w:tc>
          <w:tcPr>
            <w:tcW w:w="135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4.074 / 26.139</w:t>
            </w:r>
          </w:p>
        </w:tc>
      </w:tr>
      <w:tr>
        <w:trPr>
          <w:cantSplit/>
        </w:trPr>
        <w:tc>
          <w:tcPr>
            <w:tcW w:w="6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MW06</w:t>
            </w:r>
          </w:p>
        </w:tc>
        <w:tc>
          <w:tcPr>
            <w:tcW w:w="12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480.7–619.3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2.705</w:t>
            </w:r>
          </w:p>
        </w:tc>
        <w:tc>
          <w:tcPr>
            <w:tcW w:w="11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0.463</w:t>
            </w:r>
          </w:p>
        </w:tc>
        <w:tc>
          <w:tcPr>
            <w:tcW w:w="11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0.359</w:t>
            </w:r>
          </w:p>
        </w:tc>
        <w:tc>
          <w:tcPr>
            <w:tcW w:w="190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left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1440 optimal; none</w:t>
            </w:r>
          </w:p>
        </w:tc>
        <w:tc>
          <w:tcPr>
            <w:tcW w:w="1350" w:type="dxa"/>
            <w:tcBorders>
              <w:top w:val="nil"/>
              <w:left w:val="nil"/>
              <w:right w:val="nil"/>
              <w:insideH w:val="nil"/>
              <w:insideV w:val="nil"/>
              <w:bottom w:val="single" w:sz="10" w:space="0" w:color="000000"/>
            </w:tcBorders>
          </w:tcPr>
          <w:p>
            <w:pPr>
              <w:pStyle w:val="13"/>
              <w:jc w:val="center"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</w:rPr>
              <w:t xml:space="preserve">4.062 / 26.159</w:t>
            </w:r>
          </w:p>
        </w:tc>
      </w:tr>
    </w:tbl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All 43 MW04 recovery records have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FB_RSN=weak_authority_constraint_drop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ACT_CSTR=pressure_low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and negative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MG_PLO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. The diagnostic row ranges from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>-0.03266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to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>-0.00561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while the direct physical margin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M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P</ns1:t>
        </ns1:r>
        <ns1:r>
          <w:rPr>
            <w:rFonts w:ascii="Times New Roman" w:hAnsi="Times New Roman" w:eastAsia="Times New Roman" w:cs="Times New Roman"/>
          </w:rPr>
          <ns1:t>L</ns1:t>
        </ns1:r>
        <ns1:r>
          <w:rPr>
            <w:rFonts w:ascii="Times New Roman" w:hAnsi="Times New Roman" w:eastAsia="Times New Roman" w:cs="Times New Roman"/>
          </w:rPr>
          <ns1:t>O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ranges from 2.21654 to 2.36306 MPa and the other five exported HOCBF margins remain positive. MW05–MW06 contain no reduced-QP record. Across MW04–MW06, QP time has median/p95/maximum values 3.557/4.095/6.234 ms, and total task time has corresponding values 24.564/26.183/28.665 ms.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plant value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0.1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fixed after training-block replay and passes the one-pass time-isolated validation gate without retuning; it is not copied from the benchmark S3 selection. Record-level plant replay remains a restricted enterprise asset and is not inferred from the high-load controller exports. Retained plant work-scope and controller-configuration records document that the original PID gains, output limits, anti-windup, sliding-pressure curve, coordinated-control logic, and fuel/feedwater/turbine-valve base loops were unchanged; RoCBF-SF was added downstream with enable, bypass, heartbeat, command-quality, and DCS-selection logic. The same work-scope records document instrument calibration, actuator inspection, combustion-equipment maintenance, and heat-surface cleaning during the outage. The record summary therefore narrows the control-system change to the proposed integration but does not remove concurrent maintenance as an alternative contributor, so the historian before/after comparison remains observational. The controller exports separately establish that the proposed filter executed after restart.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public reproducibility package contains source code, simulation results, derived historian metrics, bounded controller-export excerpts, field maps, and source/public hashes. Complete raw historian and original controller exports are enterprise assets. Qualified researchers may request restricted access from the corresponding author, subject to data-owner approval and the applicable data-use conditions.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S6 Computation and Sampled-Data Boundary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NMPC reference uses a warm-started SLSQP solve with horizon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N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5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output weights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d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input weights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d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g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0.01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normalized deviation-input bounds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[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1</ns1:t>
        </ns1:r>
        <ns1:s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]</ns1:t>
            </ns1:r>
          </ns1:e>
          <ns1:sup>
            <ns1:r>
              <w:rPr>
                <w:rFonts w:ascii="Times New Roman" w:hAnsi="Times New Roman" w:eastAsia="Times New Roman" w:cs="Times New Roman"/>
              </w:rPr>
              <ns1:t>3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six prediction constraints, additive disturbance correction with gain 0.5,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maxiter</w:t>
      </w:r>
      <w:r>
        <w:rPr>
          <w:rFonts w:ascii="Times New Roman" w:hAnsi="Times New Roman" w:eastAsia="Times New Roman" w:cs="Times New Roman"/>
          <w:sz w:val="20"/>
          <w:szCs w:val="20"/>
        </w:rPr>
        <w:t>=50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 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rStyle w:val="VerbatimChar"/>
          <w:sz w:val="20"/>
          <w:szCs w:val="20"/>
        </w:rPr>
        <w:t xml:space="preserve">ftol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10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4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Its convergence, residual, and computation-time statistics are regenerated with the actuator-augmented benchmark and reported from that frozen result set. These values describe the implemented reference rather than an optimized industrial MPC package.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Across the seven confirmatory conditions, pooled research-pipeline time per controller update ranges from 3.19 to 6.71 ms for the tune-selected RoCBF-SF row and from 3.75 to 20.82 ms for NMPC. NMPC records no solver failure and 0/175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000 counted state-limit violations under the per-constraint tolerances in this implementation. These benchmark wall-clock measurements are distinct from the deployed-CPU evidence: the confirmed controller exports report a maximum QP time of 6.234 ms and a maximum total task time of 28.665 ms against the 1000 ms task deadline.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theorem is continuous-time. The controller applies zero-order hold 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T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s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s because 1 s is the deployed coordinated-control task period; the safety filter therefore evaluates each upstream command update before the command-selection stage. This implementation choice does not assign a 1 s time constant to the slower boiler thermal dynamics. The field exports retain one record every 5 s, so their spacing is a logging interval rather than the internal control period. Field task timing establishes computational fit within the 1 s period but does not establish inter-sample forward invariance. Theorem 1 therefore is not presented as a sampled-data certificate; deriving such a certificate is retained as future work.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4"/>
          <w:szCs w:val="24"/>
          <w:color w:val="000000"/>
          <w:b/>
          <w:bCs/>
          <w:i/>
          <w:iCs/>
        </w:rPr>
        <w:t>S7 Proofs of Theoretical Results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S7.1 Residual Cross-Term Bound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Lemma S1 (Residual cross-term bound).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Let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ψ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0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≡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On the simultaneous residual event in Assumption 2 of the main article, suppose a valid pointwise derivative bound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∇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x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available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Then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  <ns1:acc>
                      <ns1:accPr>
                        <ns1:chr ns1:val="̂"/>
                      </ns1:accPr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f</ns1:t>
                        </ns1:r>
                      </ns1:e>
                    </ns1:acc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≤</ns1:t>
                </ns1:r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(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)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w:rPr>
                    <w:rFonts w:ascii="Times New Roman" w:hAnsi="Times New Roman" w:eastAsia="Times New Roman" w:cs="Times New Roman"/>
                  </w:rPr>
                  <ns1:t> </ns1:t>
                </ns1:r>
                <ns1:r>
                  <w:rPr>
                    <w:rFonts w:ascii="Times New Roman" w:hAnsi="Times New Roman" w:eastAsia="Times New Roman" w:cs="Times New Roman"/>
                  </w:rPr>
                  <ns1:t>β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(S6)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Proof.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By Cauchy–Schwarz,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  <ns1:acc>
                      <ns1:accPr>
                        <ns1:chr ns1:val="̂"/>
                      </ns1:accPr>
                      <ns1:e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f</ns1:t>
                        </ns1:r>
                      </ns1:e>
                    </ns1:acc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∇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sub>
                </ns1:sSub>
                <ns1:sSubSup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  <ns1:sup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⊤</ns1:t>
                    </ns1:r>
                  </ns1:sup>
                </ns1:sSubSup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Δ</ns1:t>
                </ns1:r>
                <ns1:acc>
                  <ns1:accPr>
                    <ns1:chr ns1:val="̂"/>
                  </ns1:accPr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f</ns1:t>
                    </ns1:r>
                  </ns1:e>
                </ns1:acc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|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≤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∇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x</ns1:t>
                    </ns1:r>
                  </ns1:sub>
                </ns1:sSub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δ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i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−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1</ns1:t>
                    </ns1:r>
                  </ns1:sub>
                </ns1:sSub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∥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Δ</ns1:t>
                </ns1:r>
                <ns1:acc>
                  <ns1:accPr>
                    <ns1:chr ns1:val="̂"/>
                  </ns1:accPr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f</ns1:t>
                    </ns1:r>
                  </ns1:e>
                </ns1:acc>
                <ns1:sSub>
                  <ns1:e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∥</ns1:t>
                    </ns1:r>
                  </ns1:e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2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.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(S7)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simultaneous residual event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acc>
          <ns1:accPr>
            <ns1:chr ns1:val="̂"/>
          </ns1:accPr>
          <ns1:e>
            <ns1:r>
              <w:rPr>
                <w:rFonts w:ascii="Times New Roman" w:hAnsi="Times New Roman" w:eastAsia="Times New Roman" w:cs="Times New Roman"/>
              </w:rPr>
              <ns1:t>f</ns1:t>
            </ns1:r>
          </ns1:e>
        </ns1:acc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over the modeled outputs, which yields Eq. (S6). Smoothness on a compact operating set ensures that finite global derivative bounds exist when the required derivatives are bounded, but it does not identify them with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∇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◻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online code uses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∇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 a commissioning proxy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Theorem 1 applies to that implementation only when Assumption 3 of the main article independently verifies that the resulting total margin dominates the true top-level HOCBF residual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S7.2 Full Proof of Theorem 1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Proof of Theorem 1.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1 (Simultaneous residual event).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Assumption 2 of the main article states that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f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μ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holds simultaneously for the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q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3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modeled residual outputs and all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sSub>
          <ns1:e>
            <ns1:r>
              <ns1:rPr>
                <ns1:scr ns1:val="script"/>
                <ns1:sty ns1:val="p"/>
              </ns1:rP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with probability at least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1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δ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Condition on this event. The commissioning multiplier used in the numerical studies does not establish this event by itself.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2 (Compositional bound).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We show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by induction 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i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numPr>
          <w:ilvl w:val="0"/>
          <w:numId w:val="1001"/>
        </w:numPr>
        <w:jc w:val="left"/>
        <w:widowControl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Base case (</w:t>
      </w:r>
      <ns1:oMath>
        <ns1: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):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nary>
          <ns1:naryPr>
            <ns1:chr ns1:val="∑"/>
            <ns1:limLoc ns1:val="undOvr"/>
            <ns1:subHide ns1:val="off"/>
            <ns1:supHide ns1:val="on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/>
            </ns1:r>
          </ns1: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</ns1:e>
        </ns1:nary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r>
          <w:rPr>
            <w:rFonts w:ascii="Times New Roman" w:hAnsi="Times New Roman" w:eastAsia="Times New Roman" w:cs="Times New Roman"/>
          </w:rPr>
          <ns1:t>h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Δ</ns1:t>
        </ns1:r>
        <ns1:sSub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By Step 1 and triangle inequality,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β</ns1:t>
        </ns1:r>
        <ns1:nary>
          <ns1:naryPr>
            <ns1:chr ns1:val="∑"/>
            <ns1:limLoc ns1:val="undOvr"/>
            <ns1:subHide ns1:val="off"/>
            <ns1:supHide ns1:val="on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/>
            </ns1:r>
          </ns1:sup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|</ns1:t>
            </ns1:r>
          </ns1:e>
        </ns1:nary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r>
          <w:rPr>
            <w:rFonts w:ascii="Times New Roman" w:hAnsi="Times New Roman" w:eastAsia="Times New Roman" w:cs="Times New Roman"/>
          </w:rPr>
          <ns1:t>h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/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∂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x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G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numPr>
          <w:ilvl w:val="0"/>
          <w:numId w:val="1001"/>
        </w:numPr>
        <w:jc w:val="left"/>
        <w:widowControl/>
      </w:pPr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Inductive step (</w:t>
      </w:r>
      <ns1:oMath>
        <ns1:r>
          <w:rPr>
            <w:rFonts w:ascii="Times New Roman" w:hAnsi="Times New Roman" w:eastAsia="Times New Roman" w:cs="Times New Roman"/>
          </w:rPr>
          <ns1:t>i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r>
          <w:rPr>
            <w:rFonts w:ascii="Times New Roman" w:hAnsi="Times New Roman" w:eastAsia="Times New Roman" w:cs="Times New Roman"/>
          </w:rPr>
          <ns1:t>2</ns1:t>
        </ns1:r>
      </ns1:oMath>
      <w:r>
        <w:rPr>
          <w:rFonts w:ascii="Times New Roman" w:hAnsi="Times New Roman" w:eastAsia="Times New Roman" w:cs="Times New Roman"/>
          <w:i/>
          <w:iCs/>
          <w:sz w:val="20"/>
          <w:szCs w:val="20"/>
        </w:rPr>
        <w:t xml:space="preserve">):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Assume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residual recursion in the main article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|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p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k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L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f</ns1:t>
                </ns1:r>
              </ns1:e>
            </ns1:acc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The first term is bounded as in the base case. The second term is bounded by the induction hypothesis. Lemma S1 bounds the third term when a valid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is available. Assumption 3 requires the operator-norm and cross-term quantities used for the certificate to dominate these terms. Summing 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i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implementation proxy is not substituted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δ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(</ns1:t>
            </ns1:r>
            <ns1:r>
              <w:rPr>
                <w:rFonts w:ascii="Times New Roman" w:hAnsi="Times New Roman" w:eastAsia="Times New Roman" w:cs="Times New Roman"/>
              </w:rPr>
              <ns1:t>i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)</ns1:t>
            </ns1:r>
          </ns1:sup>
        </ns1:sSub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in this proof unless Assumption 3 validates that substitution.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3 (Total perturbation).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Combining the inductive bounds from Step 2 with the coupling-coefficient bound in Eq. (S8) yields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nary>
          <ns1:naryPr>
            <ns1:chr ns1:val="∑"/>
            <ns1:limLoc ns1:val="undOvr"/>
            <ns1:subHide ns1:val="off"/>
            <ns1:supHide ns1:val="off"/>
          </ns1:naryPr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=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m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</ns1:sup>
          <ns1:e>
            <ns1:sSub>
              <ns1:e>
                <ns1:r>
                  <w:rPr>
                    <w:rFonts w:ascii="Times New Roman" w:hAnsi="Times New Roman" w:eastAsia="Times New Roman" w:cs="Times New Roman"/>
                  </w:rPr>
                  <ns1:t>c</ns1:t>
                </ns1:r>
              </ns1:e>
              <ns1:sub>
                <ns1:r>
                  <w:rPr>
                    <w:rFonts w:ascii="Times New Roman" w:hAnsi="Times New Roman" w:eastAsia="Times New Roman" w:cs="Times New Roman"/>
                  </w:rPr>
                  <ns1:t>j</ns1:t>
                </ns1:r>
              </ns1:sub>
            </ns1:sSub>
          </ns1:e>
        </ns1:nary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j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c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 every admissible deviation input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ϵ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κ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1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the applied margin is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p>
      <w:pPr>
        <w:pStyle w:val="3"/>
        <w:jc w:val="left"/>
        <w:widowControl/>
        <w:ind w:firstLine="420"/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Step 4 (Forward invariance).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satisfying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≤</ns1:t>
        </ns1:r>
        <ns1:r>
          <w:rPr>
            <w:rFonts w:ascii="Times New Roman" w:hAnsi="Times New Roman" w:eastAsia="Times New Roman" w:cs="Times New Roman"/>
          </w:rPr>
          <ns1:t>b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the definition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r>
          <w:rPr>
            <w:rFonts w:ascii="Times New Roman" w:hAnsi="Times New Roman" w:eastAsia="Times New Roman" w:cs="Times New Roman"/>
          </w:rPr>
          <ns1:t>v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>
          <w:rPr>
            <w:rFonts w:ascii="Times New Roman" w:hAnsi="Times New Roman" w:eastAsia="Times New Roman" w:cs="Times New Roman"/>
          </w:rPr>
          <ns1:t>b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w:rPr>
            <w:rFonts w:ascii="Times New Roman" w:hAnsi="Times New Roman" w:eastAsia="Times New Roman" w:cs="Times New Roman"/>
          </w:rPr>
          <ns1:t>A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w:rPr>
            <w:rFonts w:ascii="Times New Roman" w:hAnsi="Times New Roman" w:eastAsia="Times New Roman" w:cs="Times New Roman"/>
          </w:rPr>
          <ns1:t>v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gives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Hence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Sup>
          <ns1:e>
            <ns1:r>
              <w:rPr>
                <w:rFonts w:ascii="Times New Roman" w:hAnsi="Times New Roman" w:eastAsia="Times New Roman" w:cs="Times New Roman"/>
              </w:rPr>
              <ns1:t>ψ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u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e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Sup>
          <ns1:e>
            <ns1:acc>
              <ns1:accPr>
                <ns1:chr ns1:val="̂"/>
              </ns1:accPr>
              <ns1:e>
                <ns1:r>
                  <w:rPr>
                    <w:rFonts w:ascii="Times New Roman" w:hAnsi="Times New Roman" w:eastAsia="Times New Roman" w:cs="Times New Roman"/>
                  </w:rPr>
                  <ns1:t>ψ</ns1:t>
                </ns1:r>
              </ns1:e>
            </ns1:acc>
          </ns1:e>
          <ns1:sub>
            <ns1:r>
              <w:rPr>
                <w:rFonts w:ascii="Times New Roman" w:hAnsi="Times New Roman" w:eastAsia="Times New Roman" w:cs="Times New Roman"/>
              </w:rPr>
              <ns1:t>m</ns1:t>
            </ns1:r>
          </ns1:sub>
          <ns1:sup>
            <ns1:r>
              <w:rPr>
                <w:rFonts w:ascii="Times New Roman" w:hAnsi="Times New Roman" w:eastAsia="Times New Roman" w:cs="Times New Roman"/>
              </w:rPr>
              <ns1:t>0</ns1:t>
            </ns1:r>
          </ns1:sup>
        </ns1:sSubSup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+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−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Δ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ψ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,</ns1:t>
        </ns1:r>
        <ns1:sSup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p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*</ns1:t>
            </ns1:r>
          </ns1:sup>
        </ns1:sSup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|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≥</ns1:t>
        </ns1:r>
        <ns1:r>
          <w:rPr>
            <w:rFonts w:ascii="Times New Roman" w:hAnsi="Times New Roman" w:eastAsia="Times New Roman" w:cs="Times New Roman"/>
          </w:rPr>
          <ns1:t>0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Because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w:rPr>
            <w:rFonts w:ascii="Times New Roman" w:hAnsi="Times New Roman" w:eastAsia="Times New Roman" w:cs="Times New Roman"/>
          </w:rPr>
          <ns1:t>x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(</ns1:t>
        </ns1:r>
        <ns1:r>
          <w:rPr>
            <w:rFonts w:ascii="Times New Roman" w:hAnsi="Times New Roman" w:eastAsia="Times New Roman" w:cs="Times New Roman"/>
          </w:rPr>
          <ns1:t>0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)</ns1:t>
        </ns1:r>
        <ns1:r>
          <ns1:rPr>
            <ns1:sty ns1:val="p"/>
          </ns1:rPr>
          <w:rPr>
            <w:rFonts w:ascii="Times New Roman" w:hAnsi="Times New Roman" w:eastAsia="Times New Roman" w:cs="Times New Roman"/>
          </w:rPr>
          <ns1:t>∈</ns1:t>
        </ns1:r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, all lower-order recursive conditions in the main article’s definition of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are satisfied initially. The HOCBF forward-invariance theorem cited there therefore renders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r>
          <ns1:rPr>
            <ns1:scr ns1:val="script"/>
            <ns1:sty ns1:val="p"/>
          </ns1:rPr>
          <w:rPr>
            <w:rFonts w:ascii="Times New Roman" w:hAnsi="Times New Roman" w:eastAsia="Times New Roman" w:cs="Times New Roman"/>
          </w:rPr>
          <ns1:t>C</ns1:t>
        </ns1:r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forward invariant. ◻</w:t>
      </w:r>
    </w:p>
    <w:p>
      <w:pPr>
        <w:jc w:val="left"/>
        <w:spacing w:before="0" w:after="0"/>
        <w:keepNext/>
        <w:keepLines/>
      </w:pPr>
      <w:r>
        <w:rPr>
          <w:rFonts w:ascii="Times New Roman" w:hAnsi="Times New Roman" w:eastAsia="Times New Roman" w:cs="Times New Roman"/>
          <w:sz w:val="20"/>
          <w:szCs w:val="20"/>
          <w:color w:val="000000"/>
          <w:b/>
          <w:bCs/>
          <w:i/>
          <w:iCs/>
        </w:rPr>
        <w:t>S7.3 Coupling Coefficient Gap Bound</w:t>
      </w:r>
    </w:p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The coupling coefficient gap is bounded by:</w:t>
      </w:r>
    </w:p>
    <w:tbl>
      <w:tblPr>
        <w:tblDescription w:val="EquationNumbering"/>
        <w:tblW w:w="85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00"/>
        <w:gridCol w:w="700"/>
      </w:tblGrid>
      <w:tr>
        <w:tc>
          <w:tcPr>
            <w:tcW w:w="78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ns1:oMathPara>
              <ns1:oMathParaPr>
                <ns1:jc ns1:val="center"/>
              </ns1:oMathParaPr>
              <ns1:oMath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c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t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r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l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=</ns1:t>
                </ns1:r>
                <ns1:r>
                  <w:rPr>
                    <w:rFonts w:ascii="Times New Roman" w:hAnsi="Times New Roman" w:eastAsia="Times New Roman" w:cs="Times New Roman"/>
                  </w:rPr>
                  <ns1:t>β</ns1:t>
                </ns1:r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v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max</ns1:t>
                    </ns1:r>
                  </ns1:sub>
                </ns1:sSub>
                <ns1:nary>
                  <ns1:naryPr>
                    <ns1:chr ns1:val="∑"/>
                    <ns1:limLoc ns1:val="undOvr"/>
                    <ns1:subHide ns1:val="off"/>
                    <ns1:supHide ns1:val="on"/>
                  </ns1:naryPr>
                  <ns1:sub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</ns1:sub>
                  <ns1:sup>
                    <ns1:r>
                      <w:rPr>
                        <w:rFonts w:ascii="Times New Roman" w:hAnsi="Times New Roman" w:eastAsia="Times New Roman" w:cs="Times New Roman"/>
                      </w:rPr>
                      <ns1:t/>
                    </ns1:r>
                  </ns1:sup>
                  <ns1:e>
                    <ns1:sSub>
                      <ns1:e>
                        <ns1:d>
                          <ns1:dPr>
                            <ns1:begChr ns1:val="∥"/>
                            <ns1:sepChr ns1:val=""/>
                            <ns1:endChr ns1:val="∥"/>
                            <ns1:grow/>
                          </ns1:dPr>
                          <ns1:e>
                            <ns1:f>
                              <ns1:fPr>
                                <ns1:type ns1:val="bar"/>
                              </ns1:fPr>
                              <ns1:num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∂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(</ns1:t>
                                </ns1:r>
                                <ns1:sSub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L</ns1:t>
                                    </ns1:r>
                                  </ns1:e>
                                  <ns1:sub>
                                    <ns1:sSub>
                                      <ns1:e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g</ns1:t>
                                        </ns1:r>
                                      </ns1:e>
                                      <ns1:sub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v</ns1:t>
                                        </ns1:r>
                                      </ns1:sub>
                                    </ns1:sSub>
                                  </ns1:sub>
                                </ns1:sSub>
                                <ns1:sSubSup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L</ns1:t>
                                    </ns1:r>
                                  </ns1:e>
                                  <ns1:sub>
                                    <ns1:acc>
                                      <ns1:accPr>
                                        <ns1:chr ns1:val="̂"/>
                                      </ns1:accPr>
                                      <ns1:e>
                                        <ns1:r>
                                          <w:rPr>
                                            <w:rFonts w:ascii="Times New Roman" w:hAnsi="Times New Roman" w:eastAsia="Times New Roman" w:cs="Times New Roman"/>
                                          </w:rPr>
                                          <ns1:t>f</ns1:t>
                                        </ns1:r>
                                      </ns1:e>
                                    </ns1:acc>
                                  </ns1:sub>
                                  <ns1:sup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m</ns1:t>
                                    </ns1:r>
                                    <ns1:r>
                                      <ns1:rPr>
                                        <ns1:sty ns1:val="p"/>
                                      </ns1:rP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−</ns1:t>
                                    </ns1:r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1</ns1:t>
                                    </ns1:r>
                                  </ns1:sup>
                                </ns1:sSubSup>
                                <ns1: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h</ns1:t>
                                </ns1:r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)</ns1:t>
                                </ns1:r>
                              </ns1:num>
                              <ns1:den>
                                <ns1:r>
                                  <ns1:rPr>
                                    <ns1:sty ns1:val="p"/>
                                  </ns1:rPr>
                                  <w:rPr>
                                    <w:rFonts w:ascii="Times New Roman" w:hAnsi="Times New Roman" w:eastAsia="Times New Roman" w:cs="Times New Roman"/>
                                  </w:rPr>
                                  <ns1:t>∂</ns1:t>
                                </ns1:r>
                                <ns1:sSub>
                                  <ns1:e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x</ns1:t>
                                    </ns1:r>
                                  </ns1:e>
                                  <ns1:sub>
                                    <ns1:r>
                                      <w:rPr>
                                        <w:rFonts w:ascii="Times New Roman" w:hAnsi="Times New Roman" w:eastAsia="Times New Roman" w:cs="Times New Roman"/>
                                      </w:rPr>
                                      <ns1:t>j</ns1:t>
                                    </ns1:r>
                                  </ns1:sub>
                                </ns1:sSub>
                              </ns1:den>
                            </ns1:f>
                          </ns1:e>
                        </ns1:d>
                      </ns1:e>
                      <ns1:sub>
                        <ns1:r>
                          <w:rPr>
                            <w:rFonts w:ascii="Times New Roman" w:hAnsi="Times New Roman" w:eastAsia="Times New Roman" w:cs="Times New Roman"/>
                          </w:rPr>
                          <ns1:t>2</ns1:t>
                        </ns1:r>
                      </ns1:sub>
                    </ns1:sSub>
                  </ns1:e>
                </ns1:nary>
                <ns1:sSub>
                  <ns1:e>
                    <ns1:r>
                      <w:rPr>
                        <w:rFonts w:ascii="Times New Roman" w:hAnsi="Times New Roman" w:eastAsia="Times New Roman" w:cs="Times New Roman"/>
                      </w:rPr>
                      <ns1:t>σ</ns1:t>
                    </ns1:r>
                  </ns1:e>
                  <ns1:sub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G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P</ns1:t>
                    </ns1:r>
                    <ns1:r>
                      <ns1:rPr>
                        <ns1:sty ns1:val="p"/>
                      </ns1:rPr>
                      <w:rPr>
                        <w:rFonts w:ascii="Times New Roman" w:hAnsi="Times New Roman" w:eastAsia="Times New Roman" w:cs="Times New Roman"/>
                      </w:rPr>
                      <ns1:t>,</ns1:t>
                    </ns1:r>
                    <ns1:r>
                      <w:rPr>
                        <w:rFonts w:ascii="Times New Roman" w:hAnsi="Times New Roman" w:eastAsia="Times New Roman" w:cs="Times New Roman"/>
                      </w:rPr>
                      <ns1:t>j</ns1:t>
                    </ns1:r>
                  </ns1:sub>
                </ns1:sSub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(</ns1:t>
                </ns1:r>
                <ns1:r>
                  <w:rPr>
                    <w:rFonts w:ascii="Times New Roman" w:hAnsi="Times New Roman" w:eastAsia="Times New Roman" w:cs="Times New Roman"/>
                  </w:rPr>
                  <ns1:t>x</ns1:t>
                </ns1:r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)</ns1:t>
                </ns1:r>
              </ns1:oMath>
            </ns1:oMathPara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(S8)</w:t>
            </w:r>
          </w:p>
        </w:tc>
      </w:tr>
    </w:tbl>
    <w:p>
      <w:pPr>
        <w:pStyle w:val="11"/>
        <w:jc w:val="left"/>
        <w:widowControl/>
        <w:ind w:firstLine="420"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where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v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w:rPr>
                <w:rFonts w:ascii="Times New Roman" w:hAnsi="Times New Roman" w:eastAsia="Times New Roman" w:cs="Times New Roman"/>
              </w:rPr>
              <ns1:t>g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0</ns1:t>
            </ns1:r>
          </ns1:sub>
        </ns1:sSub>
        <ns1:sSub>
          <ns1:e>
            <ns1:r>
              <w:rPr>
                <w:rFonts w:ascii="Times New Roman" w:hAnsi="Times New Roman" w:eastAsia="Times New Roman" w:cs="Times New Roman"/>
              </w:rPr>
              <ns1:t>S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u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v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max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sup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v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∈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[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−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,</ns1:t>
            </ns1:r>
            <ns1:r>
              <w:rPr>
                <w:rFonts w:ascii="Times New Roman" w:hAnsi="Times New Roman" w:eastAsia="Times New Roman" w:cs="Times New Roman"/>
              </w:rPr>
              <ns1:t>1</ns1:t>
            </ns1:r>
            <ns1:sSup>
              <ns1:e>
                <ns1:r>
                  <ns1:rPr>
                    <ns1:sty ns1:val="p"/>
                  </ns1:rPr>
                  <w:rPr>
                    <w:rFonts w:ascii="Times New Roman" w:hAnsi="Times New Roman" w:eastAsia="Times New Roman" w:cs="Times New Roman"/>
                  </w:rPr>
                  <ns1:t>]</ns1:t>
                </ns1:r>
              </ns1:e>
              <ns1:sup>
                <ns1:r>
                  <w:rPr>
                    <w:rFonts w:ascii="Times New Roman" w:hAnsi="Times New Roman" w:eastAsia="Times New Roman" w:cs="Times New Roman"/>
                  </w:rPr>
                  <ns1:t>3</ns1:t>
                </ns1:r>
              </ns1:sup>
            </ns1:sSup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∥</ns1:t>
        </ns1:r>
        <ns1:r>
          <w:rPr>
            <w:rFonts w:ascii="Times New Roman" w:hAnsi="Times New Roman" w:eastAsia="Times New Roman" w:cs="Times New Roman"/>
          </w:rPr>
          <ns1:t>v</ns1:t>
        </ns1:r>
        <ns1:sSub>
          <ns1:e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∥</ns1:t>
            </ns1:r>
          </ns1:e>
          <ns1:sub>
            <ns1:r>
              <w:rPr>
                <w:rFonts w:ascii="Times New Roman" w:hAnsi="Times New Roman" w:eastAsia="Times New Roman" w:cs="Times New Roman"/>
              </w:rPr>
              <ns1:t>2</ns1:t>
            </ns1:r>
          </ns1:sub>
        </ns1:sSub>
        <ns1:r>
          <ns1:rPr>
            <ns1:sty ns1:val="p"/>
          </ns1:rPr>
          <w:rPr>
            <w:rFonts w:ascii="Times New Roman" w:hAnsi="Times New Roman" w:eastAsia="Times New Roman" w:cs="Times New Roman"/>
          </w:rPr>
          <ns1:t>=</ns1:t>
        </ns1:r>
        <ns1:rad>
          <ns1:radPr>
            <ns1:degHide ns1:val="on"/>
          </ns1:radPr>
          <ns1:deg/>
          <ns1:e>
            <ns1:r>
              <w:rPr>
                <w:rFonts w:ascii="Times New Roman" w:hAnsi="Times New Roman" w:eastAsia="Times New Roman" w:cs="Times New Roman"/>
              </w:rPr>
              <ns1:t>3</ns1:t>
            </ns1:r>
          </ns1:e>
        </ns1:rad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 This term is evaluated separately for each barrier row and included in that row’s total margin; Theorem 1 does not assume a fixed ratio between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c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r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and</w:t>
      </w:r>
      <w:r>
        <w:rPr>
          <w:rFonts w:ascii="Times New Roman" w:hAnsi="Times New Roman" w:eastAsia="Times New Roman" w:cs="Times New Roman"/>
          <w:sz w:val="20"/>
          <w:szCs w:val="20"/>
        </w:rPr>
        <w:t xml:space="preserve"> </w:t>
      </w:r>
      <ns1:oMath>
        <ns1:sSub>
          <ns1:e>
            <ns1:r>
              <w:rPr>
                <w:rFonts w:ascii="Times New Roman" w:hAnsi="Times New Roman" w:eastAsia="Times New Roman" w:cs="Times New Roman"/>
              </w:rPr>
              <ns1:t>σ</ns1:t>
            </ns1:r>
          </ns1:e>
          <ns1:sub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o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t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a</ns1:t>
            </ns1:r>
            <ns1:r>
              <ns1:rPr>
                <ns1:sty ns1:val="p"/>
              </ns1:rPr>
              <w:rPr>
                <w:rFonts w:ascii="Times New Roman" w:hAnsi="Times New Roman" w:eastAsia="Times New Roman" w:cs="Times New Roman"/>
              </w:rPr>
              <ns1:t>l</ns1:t>
            </ns1:r>
          </ns1:sub>
        </ns1:sSub>
      </ns1:oMath>
      <w:r>
        <w:rPr>
          <w:rFonts w:ascii="Times New Roman" w:hAnsi="Times New Roman" w:eastAsia="Times New Roman" w:cs="Times New Roman"/>
          <w:sz w:val="20"/>
          <w:szCs w:val="20"/>
        </w:rPr>
        <w:t xml:space="preserve">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hanging="360" w:left="720"/>
      </w:pPr>
      <w:rPr>
        <w:rFonts w:ascii="Times New Roman" w:hAnsi="Times New Roman" w:eastAsia="Times New Roman" w:cs="Times New Roman"/>
      </w:rPr>
    </w:lvl>
    <w:lvl w:ilvl="1" w:tentative="0">
      <w:start w:val="0"/>
      <w:numFmt w:val="bullet"/>
      <w:lvlText w:val=" "/>
      <w:lvlJc w:val="left"/>
      <w:pPr>
        <w:ind w:hanging="360" w:left="1440"/>
      </w:pPr>
      <w:rPr>
        <w:rFonts w:ascii="Times New Roman" w:hAnsi="Times New Roman" w:eastAsia="Times New Roman" w:cs="Times New Roman"/>
      </w:rPr>
    </w:lvl>
    <w:lvl w:ilvl="2" w:tentative="0">
      <w:start w:val="0"/>
      <w:numFmt w:val="bullet"/>
      <w:lvlText w:val=" "/>
      <w:lvlJc w:val="left"/>
      <w:pPr>
        <w:ind w:hanging="360" w:left="2160"/>
      </w:pPr>
      <w:rPr>
        <w:rFonts w:ascii="Times New Roman" w:hAnsi="Times New Roman" w:eastAsia="Times New Roman" w:cs="Times New Roman"/>
      </w:rPr>
    </w:lvl>
    <w:lvl w:ilvl="3" w:tentative="0">
      <w:start w:val="0"/>
      <w:numFmt w:val="bullet"/>
      <w:lvlText w:val=" "/>
      <w:lvlJc w:val="left"/>
      <w:pPr>
        <w:ind w:hanging="360" w:left="2880"/>
      </w:pPr>
      <w:rPr>
        <w:rFonts w:ascii="Times New Roman" w:hAnsi="Times New Roman" w:eastAsia="Times New Roman" w:cs="Times New Roman"/>
      </w:rPr>
    </w:lvl>
    <w:lvl w:ilvl="4" w:tentative="0">
      <w:start w:val="0"/>
      <w:numFmt w:val="bullet"/>
      <w:lvlText w:val=" "/>
      <w:lvlJc w:val="left"/>
      <w:pPr>
        <w:ind w:hanging="360" w:left="3600"/>
      </w:pPr>
      <w:rPr>
        <w:rFonts w:ascii="Times New Roman" w:hAnsi="Times New Roman" w:eastAsia="Times New Roman" w:cs="Times New Roman"/>
      </w:rPr>
    </w:lvl>
    <w:lvl w:ilvl="5" w:tentative="0">
      <w:start w:val="0"/>
      <w:numFmt w:val="bullet"/>
      <w:lvlText w:val=" "/>
      <w:lvlJc w:val="left"/>
      <w:pPr>
        <w:ind w:hanging="360" w:left="4320"/>
      </w:pPr>
      <w:rPr>
        <w:rFonts w:ascii="Times New Roman" w:hAnsi="Times New Roman" w:eastAsia="Times New Roman" w:cs="Times New Roman"/>
      </w:rPr>
    </w:lvl>
    <w:lvl w:ilvl="6" w:tentative="0">
      <w:start w:val="0"/>
      <w:numFmt w:val="bullet"/>
      <w:lvlText w:val=" "/>
      <w:lvlJc w:val="left"/>
      <w:pPr>
        <w:ind w:hanging="360" w:left="5040"/>
      </w:pPr>
      <w:rPr>
        <w:rFonts w:ascii="Times New Roman" w:hAnsi="Times New Roman" w:eastAsia="Times New Roman" w:cs="Times New Roman"/>
      </w:rPr>
    </w:lvl>
    <w:lvl w:ilvl="7" w:tentative="0">
      <w:start w:val="0"/>
      <w:numFmt w:val="bullet"/>
      <w:lvlText w:val=" "/>
      <w:lvlJc w:val="left"/>
      <w:pPr>
        <w:ind w:hanging="360" w:left="5760"/>
      </w:pPr>
      <w:rPr>
        <w:rFonts w:ascii="Times New Roman" w:hAnsi="Times New Roman" w:eastAsia="Times New Roman" w:cs="Times New Roman"/>
      </w:rPr>
    </w:lvl>
    <w:lvl w:ilvl="8" w:tentative="0">
      <w:start w:val="0"/>
      <w:numFmt w:val="bullet"/>
      <w:lvlText w:val=" "/>
      <w:lvlJc w:val="left"/>
      <w:pPr>
        <w:ind w:hanging="360" w:left="6480"/>
      </w:pPr>
      <w:rPr>
        <w:rFonts w:ascii="Times New Roman" w:hAnsi="Times New Roman" w:eastAsia="Times New Roman" w:cs="Times New Roman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hanging="360" w:left="720"/>
      </w:pPr>
      <w:rPr>
        <w:rFonts w:ascii="Times New Roman" w:cs="Times New Roman" w:eastAsia="Times New Roman" w:hAnsi="Times New Roman" w:hint="default"/>
      </w:rPr>
    </w:lvl>
    <w:lvl w:ilvl="1" w:tentative="0">
      <w:start w:val="0"/>
      <w:numFmt w:val="bullet"/>
      <w:lvlText w:val="o"/>
      <w:lvlJc w:val="left"/>
      <w:pPr>
        <w:ind w:hanging="360" w:left="1440"/>
      </w:pPr>
      <w:rPr>
        <w:rFonts w:ascii="Times New Roman" w:cs="Times New Roman" w:eastAsia="Times New Roman" w:hAnsi="Times New Roman" w:hint="default"/>
      </w:rPr>
    </w:lvl>
    <w:lvl w:ilvl="2" w:tentative="0">
      <w:start w:val="0"/>
      <w:numFmt w:val="bullet"/>
      <w:lvlText w:val=""/>
      <w:lvlJc w:val="left"/>
      <w:pPr>
        <w:ind w:hanging="360" w:left="2160"/>
      </w:pPr>
      <w:rPr>
        <w:rFonts w:ascii="Times New Roman" w:cs="Times New Roman" w:eastAsia="Times New Roman" w:hAnsi="Times New Roman" w:hint="default"/>
      </w:rPr>
    </w:lvl>
    <w:lvl w:ilvl="3" w:tentative="0">
      <w:start w:val="0"/>
      <w:numFmt w:val="bullet"/>
      <w:lvlText w:val=""/>
      <w:lvlJc w:val="left"/>
      <w:pPr>
        <w:ind w:hanging="360" w:left="2880"/>
      </w:pPr>
      <w:rPr>
        <w:rFonts w:ascii="Times New Roman" w:cs="Times New Roman" w:eastAsia="Times New Roman" w:hAnsi="Times New Roman" w:hint="default"/>
      </w:rPr>
    </w:lvl>
    <w:lvl w:ilvl="4" w:tentative="0">
      <w:start w:val="0"/>
      <w:numFmt w:val="bullet"/>
      <w:lvlText w:val="o"/>
      <w:lvlJc w:val="left"/>
      <w:pPr>
        <w:ind w:hanging="360" w:left="3600"/>
      </w:pPr>
      <w:rPr>
        <w:rFonts w:ascii="Times New Roman" w:cs="Times New Roman" w:eastAsia="Times New Roman" w:hAnsi="Times New Roman" w:hint="default"/>
      </w:rPr>
    </w:lvl>
    <w:lvl w:ilvl="5" w:tentative="0">
      <w:start w:val="0"/>
      <w:numFmt w:val="bullet"/>
      <w:lvlText w:val=""/>
      <w:lvlJc w:val="left"/>
      <w:pPr>
        <w:ind w:hanging="360" w:left="4320"/>
      </w:pPr>
      <w:rPr>
        <w:rFonts w:ascii="Times New Roman" w:cs="Times New Roman" w:eastAsia="Times New Roman" w:hAnsi="Times New Roman" w:hint="default"/>
      </w:rPr>
    </w:lvl>
    <w:lvl w:ilvl="6" w:tentative="0">
      <w:start w:val="0"/>
      <w:numFmt w:val="bullet"/>
      <w:lvlText w:val=""/>
      <w:lvlJc w:val="left"/>
      <w:pPr>
        <w:ind w:hanging="360" w:left="5040"/>
      </w:pPr>
      <w:rPr>
        <w:rFonts w:ascii="Times New Roman" w:cs="Times New Roman" w:eastAsia="Times New Roman" w:hAnsi="Times New Roman" w:hint="default"/>
      </w:rPr>
    </w:lvl>
    <w:lvl w:ilvl="7" w:tentative="0">
      <w:start w:val="0"/>
      <w:numFmt w:val="bullet"/>
      <w:lvlText w:val="o"/>
      <w:lvlJc w:val="left"/>
      <w:pPr>
        <w:ind w:hanging="360" w:left="5760"/>
      </w:pPr>
      <w:rPr>
        <w:rFonts w:ascii="Times New Roman" w:cs="Times New Roman" w:eastAsia="Times New Roman" w:hAnsi="Times New Roman" w:hint="default"/>
      </w:rPr>
    </w:lvl>
    <w:lvl w:ilvl="8" w:tentative="0">
      <w:start w:val="0"/>
      <w:numFmt w:val="bullet"/>
      <w:lvlText w:val=""/>
      <w:lvlJc w:val="left"/>
      <w:pPr>
        <w:ind w:hanging="360" w:left="6480"/>
      </w:pPr>
      <w:rPr>
        <w:rFonts w:ascii="Times New Roman" w:cs="Times New Roman" w:eastAsia="Times New Roman" w:hAnsi="Times New Roman" w:hint="default"/>
      </w:rPr>
    </w:lvl>
  </w:abstractNum>
  <w:abstractNum w:abstractNumId="2">
    <w:nsid w:val="00A99201"/>
    <w:multiLevelType w:val="multilevel"/>
    <w:tmpl w:val="00A99201"/>
    <w:lvl w:ilvl="0" w:tentative="0">
      <w:start w:val="1"/>
      <w:numFmt w:val="decimal"/>
      <w:lvlText w:val="%1."/>
      <w:lvlJc w:val="left"/>
      <w:pPr>
        <w:ind w:hanging="360" w:left="72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lvlText w:val="%2."/>
      <w:lvlJc w:val="left"/>
      <w:pPr>
        <w:ind w:hanging="360" w:left="144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lvlText w:val="%3."/>
      <w:lvlJc w:val="left"/>
      <w:pPr>
        <w:ind w:hanging="360" w:left="21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lvlText w:val="%4."/>
      <w:lvlJc w:val="left"/>
      <w:pPr>
        <w:ind w:hanging="360" w:left="288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lvlText w:val="%5."/>
      <w:lvlJc w:val="left"/>
      <w:pPr>
        <w:ind w:hanging="360" w:left="360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lvlText w:val="%6."/>
      <w:lvlJc w:val="left"/>
      <w:pPr>
        <w:ind w:hanging="360" w:left="432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lvlText w:val="%7."/>
      <w:lvlJc w:val="left"/>
      <w:pPr>
        <w:ind w:hanging="360" w:left="504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lvlText w:val="%8."/>
      <w:lvlJc w:val="left"/>
      <w:pPr>
        <w:ind w:hanging="360" w:left="57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lvlText w:val="%9."/>
      <w:lvlJc w:val="left"/>
      <w:pPr>
        <w:ind w:hanging="360" w:left="6480"/>
      </w:pPr>
      <w:rPr>
        <w:rFonts w:ascii="Times New Roman" w:hAnsi="Times New Roman" w:eastAsia="Times New Roman" w:cs="Times New Roman"/>
      </w:rPr>
    </w:lvl>
  </w:abstractNum>
  <w:abstractNum w:abstractNumId="3">
    <w:nsid w:val="0B6F0419"/>
    <w:multiLevelType w:val="singleLevel"/>
    <w:tmpl w:val="0B6F0419"/>
    <w:lvl w:ilvl="0" w:tentative="0">
      <w:start w:val="1"/>
      <w:numFmt w:val="decimal"/>
      <w:lvlText w:val="[%1]"/>
      <w:lvlJc w:val="left"/>
      <w:pPr>
        <w:tabs>
          <w:tab w:pos="397" w:val="left"/>
        </w:tabs>
        <w:ind w:firstLineChars="0" w:hanging="454" w:left="454" w:leftChars="0"/>
      </w:pPr>
      <w:rPr>
        <w:rFonts w:ascii="Times New Roman" w:cs="Times New Roman" w:eastAsia="Times New Roman" w:hAnsi="Times New Roman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  <w:rPr>
        <w:rFonts w:ascii="Times New Roman" w:hAnsi="Times New Roman" w:eastAsia="Times New Roman" w:cs="Times New Roman"/>
      </w:rPr>
    </w:lvl>
    <w:lvl w:ilvl="1">
      <w:numFmt w:val="bullet"/>
      <w:lvlText w:val=" "/>
      <w:lvlJc w:val="left"/>
      <w:pPr>
        <w:ind w:left="1440" w:hanging="360"/>
      </w:pPr>
      <w:rPr>
        <w:rFonts w:ascii="Times New Roman" w:hAnsi="Times New Roman" w:eastAsia="Times New Roman" w:cs="Times New Roman"/>
      </w:rPr>
    </w:lvl>
    <w:lvl w:ilvl="2">
      <w:numFmt w:val="bullet"/>
      <w:lvlText w:val=" "/>
      <w:lvlJc w:val="left"/>
      <w:pPr>
        <w:ind w:left="2160" w:hanging="360"/>
      </w:pPr>
      <w:rPr>
        <w:rFonts w:ascii="Times New Roman" w:hAnsi="Times New Roman" w:eastAsia="Times New Roman" w:cs="Times New Roman"/>
      </w:rPr>
    </w:lvl>
    <w:lvl w:ilvl="3">
      <w:numFmt w:val="bullet"/>
      <w:lvlText w:val=" "/>
      <w:lvlJc w:val="left"/>
      <w:pPr>
        <w:ind w:left="2880" w:hanging="360"/>
      </w:pPr>
      <w:rPr>
        <w:rFonts w:ascii="Times New Roman" w:hAnsi="Times New Roman" w:eastAsia="Times New Roman" w:cs="Times New Roman"/>
      </w:rPr>
    </w:lvl>
    <w:lvl w:ilvl="4">
      <w:numFmt w:val="bullet"/>
      <w:lvlText w:val=" "/>
      <w:lvlJc w:val="left"/>
      <w:pPr>
        <w:ind w:left="3600" w:hanging="360"/>
      </w:pPr>
      <w:rPr>
        <w:rFonts w:ascii="Times New Roman" w:hAnsi="Times New Roman" w:eastAsia="Times New Roman" w:cs="Times New Roman"/>
      </w:rPr>
    </w:lvl>
    <w:lvl w:ilvl="5">
      <w:numFmt w:val="bullet"/>
      <w:lvlText w:val=" "/>
      <w:lvlJc w:val="left"/>
      <w:pPr>
        <w:ind w:left="4320" w:hanging="360"/>
      </w:pPr>
      <w:rPr>
        <w:rFonts w:ascii="Times New Roman" w:hAnsi="Times New Roman" w:eastAsia="Times New Roman" w:cs="Times New Roman"/>
      </w:rPr>
    </w:lvl>
    <w:lvl w:ilvl="6">
      <w:numFmt w:val="bullet"/>
      <w:lvlText w:val=" "/>
      <w:lvlJc w:val="left"/>
      <w:pPr>
        <w:ind w:left="5040" w:hanging="360"/>
      </w:pPr>
      <w:rPr>
        <w:rFonts w:ascii="Times New Roman" w:hAnsi="Times New Roman" w:eastAsia="Times New Roman" w:cs="Times New Roman"/>
      </w:rPr>
    </w:lvl>
    <w:lvl w:ilvl="7">
      <w:numFmt w:val="bullet"/>
      <w:lvlText w:val=" "/>
      <w:lvlJc w:val="left"/>
      <w:pPr>
        <w:ind w:left="5760" w:hanging="360"/>
      </w:pPr>
      <w:rPr>
        <w:rFonts w:ascii="Times New Roman" w:hAnsi="Times New Roman" w:eastAsia="Times New Roman" w:cs="Times New Roman"/>
      </w:rPr>
    </w:lvl>
    <w:lvl w:ilvl="8">
      <w:numFmt w:val="bullet"/>
      <w:lvlText w:val=" "/>
      <w:lvlJc w:val="left"/>
      <w:pPr>
        <w:ind w:left="6480" w:hanging="360"/>
      </w:pPr>
      <w:rPr>
        <w:rFonts w:ascii="Times New Roman" w:hAnsi="Times New Roman" w:eastAsia="Times New Roman" w:cs="Times New Roman"/>
      </w:r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hint="default" w:eastAsia="Times New Roman"/>
      </w:r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>
      <w:numFmt w:val="bullet"/>
      <w:lvlText w:val=""/>
      <w:lvlJc w:val="left"/>
      <w:pPr>
        <w:ind w:left="2160" w:hanging="360"/>
      </w:pPr>
      <w:rPr>
        <w:rFonts w:ascii="Times New Roman" w:hAnsi="Times New Roman" w:cs="Times New Roman" w:hint="default" w:eastAsia="Times New Roman"/>
      </w:rPr>
    </w:lvl>
    <w:lvl w:ilvl="3">
      <w:numFmt w:val="bullet"/>
      <w:lvlText w:val=""/>
      <w:lvlJc w:val="left"/>
      <w:pPr>
        <w:ind w:left="2880" w:hanging="360"/>
      </w:pPr>
      <w:rPr>
        <w:rFonts w:ascii="Times New Roman" w:hAnsi="Times New Roman" w:cs="Times New Roman" w:hint="default" w:eastAsia="Times New Roman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>
      <w:numFmt w:val="bullet"/>
      <w:lvlText w:val=""/>
      <w:lvlJc w:val="left"/>
      <w:pPr>
        <w:ind w:left="4320" w:hanging="360"/>
      </w:pPr>
      <w:rPr>
        <w:rFonts w:ascii="Times New Roman" w:hAnsi="Times New Roman" w:cs="Times New Roman" w:hint="default" w:eastAsia="Times New Roman"/>
      </w:rPr>
    </w:lvl>
    <w:lvl w:ilvl="6">
      <w:numFmt w:val="bullet"/>
      <w:lvlText w:val=""/>
      <w:lvlJc w:val="left"/>
      <w:pPr>
        <w:ind w:left="5040" w:hanging="360"/>
      </w:pPr>
      <w:rPr>
        <w:rFonts w:ascii="Times New Roman" w:hAnsi="Times New Roman" w:cs="Times New Roman" w:hint="default" w:eastAsia="Times New Roman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>
      <w:numFmt w:val="bullet"/>
      <w:lvlText w:val=""/>
      <w:lvlJc w:val="left"/>
      <w:pPr>
        <w:ind w:left="6480" w:hanging="360"/>
      </w:pPr>
      <w:rPr>
        <w:rFonts w:ascii="Times New Roman" w:hAnsi="Times New Roman" w:cs="Times New Roman" w:hint="default" w:eastAsia="Times New Roman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1000">
    <w:abstractNumId w:val="990"/>
  </w:num>
  <w:num w:numId="1001">
    <w:abstractNumId w:val="991"/>
  </w:num>
</w:numbering>
</file>

<file path=word/settings.xml><?xml version="1.0" encoding="utf-8"?>
<w:settings xmlns:ns1="http://schemas.openxmlformats.org/officeDocument/2006/math" xmlns:w="http://schemas.openxmlformats.org/wordprocessingml/2006/main">
  <w:zoom w:percent="150"/>
  <w:embedSystemFonts/>
  <w:bordersDoNotSurroundHeader w:val="1"/>
  <w:bordersDoNotSurroundFooter w:val="1"/>
  <w:proofState w:grammar="clean" w:spelling="clean"/>
  <w:stylePaneFormatFilter w:val="0004"/>
  <w:doNotTrackMoves/>
  <w:documentProtection w:enforcement="0"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  <w:doNotAutoCompressPictures/>
  <w:defaultImageDpi w:val="600"/>
  <ns1:mathPr>
    <ns1:mathFont ns1:val="Times New Roman"/>
  </ns1:mathPr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="Times New Roman" w:asciiTheme="minorHAnsi" w:cs="Times New Roman" w:cstheme="minorBidi" w:eastAsia="Times New Roman" w:eastAsiaTheme="minorEastAsia" w:hAnsi="Times New Roman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0"/>
    <w:lsdException w:name="heading 4" w:qFormat="1" w:uiPriority="0"/>
    <w:lsdException w:name="heading 5" w:qFormat="1" w:uiPriority="0"/>
    <w:lsdException w:name="heading 6" w:qFormat="1" w:uiPriority="0"/>
    <w:lsdException w:name="heading 7" w:qFormat="1" w:uiPriority="0"/>
    <w:lsdException w:name="heading 8" w:qFormat="1" w:uiPriority="0"/>
    <w:lsdException w:name="heading 9" w:qFormat="1" w:uiPriority="0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qFormat="1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10" w:unhideWhenUsed="0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qFormat="1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qFormat="1" w:semiHidden="0" w:uiPriority="0" w:unhideWhenUsed="0"/>
    <w:lsdException w:name="FollowedHyperlink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widowControl w:val="0"/>
      <w:jc w:val="both"/>
    </w:pPr>
    <w:rPr>
      <w:rFonts w:ascii="Times New Roman" w:asciiTheme="minorHAnsi" w:cs="Times New Roman" w:cstheme="minorBidi" w:eastAsia="Times New Roman" w:eastAsiaTheme="minorEastAsia" w:hAnsi="Times New Roman" w:hAnsiTheme="minorHAnsi"/>
      <w:kern w:val="2"/>
      <w:sz w:val="21"/>
      <w:szCs w:val="24"/>
      <w:lang w:bidi="ar-SA" w:eastAsia="zh-CN" w:val="en-US"/>
    </w:rPr>
  </w:style>
  <w:style w:styleId="2" w:type="paragraph">
    <w:name w:val="heading 1"/>
    <w:basedOn w:val="1"/>
    <w:next w:val="3"/>
    <w:qFormat/>
    <w:uiPriority w:val="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2E54A1"/>
      <w:sz w:val="40"/>
      <w:szCs w:val="40"/>
    </w:rPr>
  </w:style>
  <w:style w:styleId="4" w:type="paragraph">
    <w:name w:val="heading 2"/>
    <w:basedOn w:val="1"/>
    <w:next w:val="3"/>
    <w:semiHidden/>
    <w:unhideWhenUsed/>
    <w:qFormat/>
    <w:uiPriority w:val="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color w:themeColor="accent1" w:themeShade="BF" w:val="2E54A1"/>
      <w:sz w:val="32"/>
      <w:szCs w:val="32"/>
    </w:rPr>
  </w:style>
  <w:style w:default="1" w:styleId="7" w:type="character">
    <w:name w:val="Default Paragraph Font"/>
    <w:semiHidden/>
    <w:uiPriority w:val="0"/>
  </w:style>
  <w:style w:default="1" w:styleId="6" w:type="table">
    <w:name w:val="Normal Table"/>
    <w:semiHidden/>
    <w:qFormat/>
    <w:uiPriority w:val="0"/>
    <w:tblPr>
      <w:tblCellMar>
        <w:top w:type="dxa" w:w="0"/>
        <w:left w:type="dxa" w:w="108"/>
        <w:bottom w:type="dxa" w:w="0"/>
        <w:right w:type="dxa" w:w="108"/>
      </w:tblCellMar>
    </w:tblPr>
  </w:style>
  <w:style w:styleId="3" w:type="paragraph">
    <w:name w:val="Body Text"/>
    <w:basedOn w:val="1"/>
    <w:link w:val="9"/>
    <w:qFormat/>
    <w:uiPriority w:val="0"/>
    <w:pPr>
      <w:spacing w:after="180" w:before="180"/>
    </w:pPr>
  </w:style>
  <w:style w:styleId="5" w:type="paragraph">
    <w:name w:val="caption"/>
    <w:basedOn w:val="1"/>
    <w:qFormat/>
    <w:uiPriority w:val="0"/>
    <w:pPr>
      <w:spacing w:after="120" w:before="0"/>
    </w:pPr>
    <w:rPr>
      <w:rFonts w:ascii="Times New Roman" w:cs="Times New Roman" w:eastAsia="Times New Roman" w:hAnsi="Times New Roman"/>
      <w:i/>
    </w:rPr>
  </w:style>
  <w:style w:styleId="8" w:type="character">
    <w:name w:val="Hyperlink"/>
    <w:basedOn w:val="9"/>
    <w:qFormat/>
    <w:uiPriority w:val="0"/>
    <w:rPr>
      <w:rFonts w:ascii="Times New Roman" w:cs="Times New Roman" w:eastAsia="Times New Roman" w:hAnsi="Times New Roman"/>
      <w:color w:val="0000FF"/>
      <w:u w:val="single"/>
    </w:rPr>
  </w:style>
  <w:style w:customStyle="1" w:styleId="9" w:type="character">
    <w:name w:val="Body Text Char"/>
    <w:basedOn w:val="7"/>
    <w:link w:val="3"/>
    <w:qFormat/>
    <w:uiPriority w:val="0"/>
  </w:style>
  <w:style w:customStyle="1" w:styleId="10" w:type="character">
    <w:name w:val="Section Number"/>
    <w:basedOn w:val="9"/>
    <w:qFormat/>
    <w:uiPriority w:val="0"/>
  </w:style>
  <w:style w:customStyle="1" w:styleId="11" w:type="paragraph">
    <w:name w:val="First Paragraph"/>
    <w:basedOn w:val="3"/>
    <w:next w:val="3"/>
    <w:qFormat/>
    <w:uiPriority w:val="0"/>
  </w:style>
  <w:style w:customStyle="1" w:styleId="12" w:type="paragraph">
    <w:name w:val="Table Caption"/>
    <w:basedOn w:val="5"/>
    <w:qFormat/>
    <w:uiPriority w:val="0"/>
    <w:pPr>
      <w:keepNext/>
    </w:pPr>
  </w:style>
  <w:style w:customStyle="1" w:styleId="13" w:type="paragraph">
    <w:name w:val="Compact"/>
    <w:basedOn w:val="3"/>
    <w:qFormat/>
    <w:uiPriority w:val="0"/>
    <w:pPr>
      <w:spacing w:after="36" w:before="36"/>
    </w:pPr>
  </w:style>
  <w:style w:customStyle="1" w:styleId="14" w:type="table">
    <w:name w:val="Table"/>
    <w:semiHidden/>
    <w:unhideWhenUsed/>
    <w:qFormat/>
    <w:uiPriority w:val="0"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color="auto" w:space="0" w:sz="0" w:val="single"/>
        </w:tcBorders>
        <w:vAlign w:val="bottom"/>
      </w:tcPr>
    </w:tblStylePr>
  </w:style>
  <w:style w:customStyle="1" w:styleId="15" w:type="paragraph">
    <w:name w:val="Captioned Figure"/>
    <w:basedOn w:val="16"/>
    <w:qFormat/>
    <w:uiPriority w:val="0"/>
    <w:pPr>
      <w:keepNext/>
    </w:pPr>
  </w:style>
  <w:style w:customStyle="1" w:styleId="16" w:type="paragraph">
    <w:name w:val="Figure"/>
    <w:basedOn w:val="1"/>
    <w:qFormat/>
    <w:uiPriority w:val="0"/>
  </w:style>
  <w:style w:customStyle="1" w:styleId="17" w:type="paragraph">
    <w:name w:val="Image Caption"/>
    <w:basedOn w:val="5"/>
    <w:qFormat/>
    <w:uiPriority w:val="0"/>
  </w:style>
  <w:style w:customStyle="1" w:styleId="18" w:type="paragraph">
    <w:name w:val="Bibliography"/>
    <w:basedOn w:val="1"/>
    <w:qFormat/>
    <w:uiPriority w:val="0"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rFonts w:ascii="Times New Roman" w:cs="Times New Roman" w:eastAsia="Times New Roman" w:hAnsi="Times New Roman"/>
      <w:b/>
      <w:color w:val="007020"/>
    </w:rPr>
  </w:style>
  <w:style w:customStyle="1" w:styleId="DataTypeTok" w:type="character">
    <w:name w:val="DataTypeTok"/>
    <w:basedOn w:val="VerbatimChar"/>
    <w:rPr>
      <w:rFonts w:ascii="Times New Roman" w:cs="Times New Roman" w:eastAsia="Times New Roman" w:hAnsi="Times New Roman"/>
      <w:color w:val="902000"/>
    </w:rPr>
  </w:style>
  <w:style w:customStyle="1" w:styleId="DecValTok" w:type="character">
    <w:name w:val="DecValTok"/>
    <w:basedOn w:val="VerbatimChar"/>
    <w:rPr>
      <w:rFonts w:ascii="Times New Roman" w:cs="Times New Roman" w:eastAsia="Times New Roman" w:hAnsi="Times New Roman"/>
      <w:color w:val="40a070"/>
    </w:rPr>
  </w:style>
  <w:style w:customStyle="1" w:styleId="BaseNTok" w:type="character">
    <w:name w:val="BaseNTok"/>
    <w:basedOn w:val="VerbatimChar"/>
    <w:rPr>
      <w:rFonts w:ascii="Times New Roman" w:cs="Times New Roman" w:eastAsia="Times New Roman" w:hAnsi="Times New Roman"/>
      <w:color w:val="40a070"/>
    </w:rPr>
  </w:style>
  <w:style w:customStyle="1" w:styleId="FloatTok" w:type="character">
    <w:name w:val="FloatTok"/>
    <w:basedOn w:val="VerbatimChar"/>
    <w:rPr>
      <w:rFonts w:ascii="Times New Roman" w:cs="Times New Roman" w:eastAsia="Times New Roman" w:hAnsi="Times New Roman"/>
      <w:color w:val="40a070"/>
    </w:rPr>
  </w:style>
  <w:style w:customStyle="1" w:styleId="ConstantTok" w:type="character">
    <w:name w:val="ConstantTok"/>
    <w:basedOn w:val="VerbatimChar"/>
    <w:rPr>
      <w:rFonts w:ascii="Times New Roman" w:cs="Times New Roman" w:eastAsia="Times New Roman" w:hAnsi="Times New Roman"/>
      <w:color w:val="880000"/>
    </w:rPr>
  </w:style>
  <w:style w:customStyle="1" w:styleId="CharTok" w:type="character">
    <w:name w:val="CharTok"/>
    <w:basedOn w:val="VerbatimChar"/>
    <w:rPr>
      <w:rFonts w:ascii="Times New Roman" w:cs="Times New Roman" w:eastAsia="Times New Roman" w:hAnsi="Times New Roman"/>
      <w:color w:val="4070a0"/>
    </w:rPr>
  </w:style>
  <w:style w:customStyle="1" w:styleId="SpecialCharTok" w:type="character">
    <w:name w:val="SpecialCharTok"/>
    <w:basedOn w:val="VerbatimChar"/>
    <w:rPr>
      <w:rFonts w:ascii="Times New Roman" w:cs="Times New Roman" w:eastAsia="Times New Roman" w:hAnsi="Times New Roman"/>
      <w:color w:val="4070a0"/>
    </w:rPr>
  </w:style>
  <w:style w:customStyle="1" w:styleId="StringTok" w:type="character">
    <w:name w:val="StringTok"/>
    <w:basedOn w:val="VerbatimChar"/>
    <w:rPr>
      <w:rFonts w:ascii="Times New Roman" w:cs="Times New Roman" w:eastAsia="Times New Roman" w:hAnsi="Times New Roman"/>
      <w:color w:val="4070a0"/>
    </w:rPr>
  </w:style>
  <w:style w:customStyle="1" w:styleId="VerbatimStringTok" w:type="character">
    <w:name w:val="VerbatimStringTok"/>
    <w:basedOn w:val="VerbatimChar"/>
    <w:rPr>
      <w:rFonts w:ascii="Times New Roman" w:cs="Times New Roman" w:eastAsia="Times New Roman" w:hAnsi="Times New Roman"/>
      <w:color w:val="4070a0"/>
    </w:rPr>
  </w:style>
  <w:style w:customStyle="1" w:styleId="SpecialStringTok" w:type="character">
    <w:name w:val="SpecialStringTok"/>
    <w:basedOn w:val="VerbatimChar"/>
    <w:rPr>
      <w:rFonts w:ascii="Times New Roman" w:cs="Times New Roman" w:eastAsia="Times New Roman" w:hAnsi="Times New Roman"/>
      <w:color w:val="bb6688"/>
    </w:rPr>
  </w:style>
  <w:style w:customStyle="1" w:styleId="ImportTok" w:type="character">
    <w:name w:val="ImportTok"/>
    <w:basedOn w:val="VerbatimChar"/>
    <w:rPr>
      <w:rFonts w:ascii="Times New Roman" w:cs="Times New Roman" w:eastAsia="Times New Roman" w:hAnsi="Times New Roman"/>
      <w:b/>
      <w:color w:val="008000"/>
    </w:rPr>
  </w:style>
  <w:style w:customStyle="1" w:styleId="CommentTok" w:type="character">
    <w:name w:val="CommentTok"/>
    <w:basedOn w:val="VerbatimChar"/>
    <w:rPr>
      <w:rFonts w:ascii="Times New Roman" w:cs="Times New Roman" w:eastAsia="Times New Roman" w:hAnsi="Times New Roman"/>
      <w:i/>
      <w:color w:val="60a0b0"/>
    </w:rPr>
  </w:style>
  <w:style w:customStyle="1" w:styleId="DocumentationTok" w:type="character">
    <w:name w:val="DocumentationTok"/>
    <w:basedOn w:val="VerbatimChar"/>
    <w:rPr>
      <w:rFonts w:ascii="Times New Roman" w:cs="Times New Roman" w:eastAsia="Times New Roman" w:hAnsi="Times New Roman"/>
      <w:i/>
      <w:color w:val="ba2121"/>
    </w:rPr>
  </w:style>
  <w:style w:customStyle="1" w:styleId="AnnotationTok" w:type="character">
    <w:name w:val="Annotation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CommentVarTok" w:type="character">
    <w:name w:val="CommentVar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OtherTok" w:type="character">
    <w:name w:val="OtherTok"/>
    <w:basedOn w:val="VerbatimChar"/>
    <w:rPr>
      <w:rFonts w:ascii="Times New Roman" w:cs="Times New Roman" w:eastAsia="Times New Roman" w:hAnsi="Times New Roman"/>
      <w:color w:val="007020"/>
    </w:rPr>
  </w:style>
  <w:style w:customStyle="1" w:styleId="FunctionTok" w:type="character">
    <w:name w:val="FunctionTok"/>
    <w:basedOn w:val="VerbatimChar"/>
    <w:rPr>
      <w:rFonts w:ascii="Times New Roman" w:cs="Times New Roman" w:eastAsia="Times New Roman" w:hAnsi="Times New Roman"/>
      <w:color w:val="06287e"/>
    </w:rPr>
  </w:style>
  <w:style w:customStyle="1" w:styleId="VariableTok" w:type="character">
    <w:name w:val="VariableTok"/>
    <w:basedOn w:val="VerbatimChar"/>
    <w:rPr>
      <w:rFonts w:ascii="Times New Roman" w:cs="Times New Roman" w:eastAsia="Times New Roman" w:hAnsi="Times New Roman"/>
      <w:color w:val="19177c"/>
    </w:rPr>
  </w:style>
  <w:style w:customStyle="1" w:styleId="ControlFlowTok" w:type="character">
    <w:name w:val="ControlFlowTok"/>
    <w:basedOn w:val="VerbatimChar"/>
    <w:rPr>
      <w:rFonts w:ascii="Times New Roman" w:cs="Times New Roman" w:eastAsia="Times New Roman" w:hAnsi="Times New Roman"/>
      <w:b/>
      <w:color w:val="007020"/>
    </w:rPr>
  </w:style>
  <w:style w:customStyle="1" w:styleId="OperatorTok" w:type="character">
    <w:name w:val="OperatorTok"/>
    <w:basedOn w:val="VerbatimChar"/>
    <w:rPr>
      <w:rFonts w:ascii="Times New Roman" w:cs="Times New Roman" w:eastAsia="Times New Roman" w:hAnsi="Times New Roman"/>
      <w:color w:val="666666"/>
    </w:rPr>
  </w:style>
  <w:style w:customStyle="1" w:styleId="BuiltInTok" w:type="character">
    <w:name w:val="BuiltInTok"/>
    <w:basedOn w:val="VerbatimChar"/>
    <w:rPr>
      <w:rFonts w:ascii="Times New Roman" w:cs="Times New Roman" w:eastAsia="Times New Roman" w:hAnsi="Times New Roman"/>
      <w:color w:val="008000"/>
    </w:rPr>
  </w:style>
  <w:style w:customStyle="1" w:styleId="ExtensionTok" w:type="character">
    <w:name w:val="ExtensionTok"/>
    <w:basedOn w:val="VerbatimChar"/>
    <w:rPr>
      <w:rFonts w:ascii="Times New Roman" w:cs="Times New Roman" w:eastAsia="Times New Roman" w:hAnsi="Times New Roman"/>
    </w:rPr>
  </w:style>
  <w:style w:customStyle="1" w:styleId="PreprocessorTok" w:type="character">
    <w:name w:val="PreprocessorTok"/>
    <w:basedOn w:val="VerbatimChar"/>
    <w:rPr>
      <w:rFonts w:ascii="Times New Roman" w:cs="Times New Roman" w:eastAsia="Times New Roman" w:hAnsi="Times New Roman"/>
      <w:color w:val="bc7a00"/>
    </w:rPr>
  </w:style>
  <w:style w:customStyle="1" w:styleId="AttributeTok" w:type="character">
    <w:name w:val="AttributeTok"/>
    <w:basedOn w:val="VerbatimChar"/>
    <w:rPr>
      <w:rFonts w:ascii="Times New Roman" w:cs="Times New Roman" w:eastAsia="Times New Roman" w:hAnsi="Times New Roman"/>
      <w:color w:val="7d9029"/>
    </w:rPr>
  </w:style>
  <w:style w:customStyle="1" w:styleId="RegionMarkerTok" w:type="character">
    <w:name w:val="RegionMarkerTok"/>
    <w:basedOn w:val="VerbatimChar"/>
    <w:rPr>
      <w:rFonts w:ascii="Times New Roman" w:cs="Times New Roman" w:eastAsia="Times New Roman" w:hAnsi="Times New Roman"/>
    </w:rPr>
  </w:style>
  <w:style w:customStyle="1" w:styleId="InformationTok" w:type="character">
    <w:name w:val="Information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WarningTok" w:type="character">
    <w:name w:val="WarningTok"/>
    <w:basedOn w:val="VerbatimChar"/>
    <w:rPr>
      <w:rFonts w:ascii="Times New Roman" w:cs="Times New Roman" w:eastAsia="Times New Roman" w:hAnsi="Times New Roman"/>
      <w:b/>
      <w:i/>
      <w:color w:val="60a0b0"/>
    </w:rPr>
  </w:style>
  <w:style w:customStyle="1" w:styleId="AlertTok" w:type="character">
    <w:name w:val="AlertTok"/>
    <w:basedOn w:val="VerbatimChar"/>
    <w:rPr>
      <w:rFonts w:ascii="Times New Roman" w:cs="Times New Roman" w:eastAsia="Times New Roman" w:hAnsi="Times New Roman"/>
      <w:b/>
      <w:color w:val="ff0000"/>
    </w:rPr>
  </w:style>
  <w:style w:customStyle="1" w:styleId="ErrorTok" w:type="character">
    <w:name w:val="ErrorTok"/>
    <w:basedOn w:val="VerbatimChar"/>
    <w:rPr>
      <w:rFonts w:ascii="Times New Roman" w:cs="Times New Roman" w:eastAsia="Times New Roman" w:hAnsi="Times New Roman"/>
      <w:b/>
      <w:color w:val="ff0000"/>
    </w:rPr>
  </w:style>
  <w:style w:customStyle="1" w:styleId="NormalTok" w:type="character">
    <w:name w:val="NormalTok"/>
    <w:basedOn w:val="VerbatimChar"/>
    <w:rPr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Times New Roman" w:hAnsi="Times New Roman" w:eastAsia="Times New Roma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Times New Roma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Times New Roma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Times New Roma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Times New Roma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Times New Roma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Times New Roman" w:cs="Times New Roman"/>
    </w:rPr>
  </w:style>
</w:styles>
</file>

<file path=word/webSettings.xml><?xml version="1.0" encoding="utf-8"?>
<w:webSettings xmlns:w="http://schemas.openxmlformats.org/wordprocessingml/2006/main">
  <w:allowPNG/>
  <w:doNotSaveAsSingleFile/>
</w:webSettings>
</file>

<file path=word/_rels/document.xml.rels><?xml version='1.0' encoding='utf-8'?>
<ns0:Relationships xmlns:ns0="http://schemas.openxmlformats.org/package/2006/relationships"><ns0:Relationship Type="http://schemas.openxmlformats.org/officeDocument/2006/relationships/numbering" Id="rId90" Target="numbering.xml" /><ns0:Relationship Type="http://schemas.openxmlformats.org/officeDocument/2006/relationships/styles" Id="rId89" Target="styles.xml" /><ns0:Relationship Type="http://schemas.openxmlformats.org/officeDocument/2006/relationships/settings" Id="rId88" Target="settings.xml" /><ns0:Relationship Type="http://schemas.openxmlformats.org/officeDocument/2006/relationships/webSettings" Id="rId87" Target="webSettings.xml" /><ns0:Relationship Type="http://schemas.openxmlformats.org/officeDocument/2006/relationships/fontTable" Id="rId86" Target="fontTable.xml" /><ns0:Relationship Type="http://schemas.openxmlformats.org/officeDocument/2006/relationships/theme" Id="rId85" Target="theme/theme1.xml" /><ns0:Relationship Type="http://schemas.openxmlformats.org/officeDocument/2006/relationships/footnotes" Id="rId84" Target="footnotes.xml" /></ns0:Relationships>
</file>

<file path=word/_rels/footnotes.xml.rels><?xml version='1.0' encoding='utf-8'?>
<ns0:Relationships xmlns:ns0="http://schemas.openxmlformats.org/package/2006/relationships" />
</file>

<file path=word/theme/theme1.xml><?xml version="1.0" encoding="utf-8"?>
<ns0:theme xmlns:ns0="http://schemas.openxmlformats.org/drawingml/2006/main" name="WPS">
  <ns0:themeElements>
    <ns0:clrScheme name="WPS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874CB"/>
      </ns0:accent1>
      <ns0:accent2>
        <ns0:srgbClr val="EE822F"/>
      </ns0:accent2>
      <ns0:accent3>
        <ns0:srgbClr val="F2BA02"/>
      </ns0:accent3>
      <ns0:accent4>
        <ns0:srgbClr val="75BD42"/>
      </ns0:accent4>
      <ns0:accent5>
        <ns0:srgbClr val="30C0B4"/>
      </ns0:accent5>
      <ns0:accent6>
        <ns0:srgbClr val="E54C5E"/>
      </ns0:accent6>
      <ns0:hlink>
        <ns0:srgbClr val="0026E5"/>
      </ns0:hlink>
      <ns0:folHlink>
        <ns0:srgbClr val="7E1FAD"/>
      </ns0:folHlink>
    </ns0:clrScheme>
    <ns0:fontScheme name="WPS">
      <ns0:majorFont>
        <ns0:latin typeface="Calibri Light"/>
        <ns0:ea typeface=""/>
        <ns0:cs typeface=""/>
        <ns0:font script="Jpan" typeface="游ゴシック Light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游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WPS">
      <ns0:fillStyleLst>
        <ns0:solidFill>
          <ns0:schemeClr val="phClr"/>
        </ns0:solidFill>
        <ns0:gradFill>
          <ns0:gsLst>
            <ns0:gs pos="0">
              <ns0:schemeClr val="phClr">
                <ns0:lumOff val="17500"/>
              </ns0:schemeClr>
            </ns0:gs>
            <ns0:gs pos="100000">
              <ns0:schemeClr val="phClr"/>
            </ns0:gs>
          </ns0:gsLst>
          <ns0:lin ang="2700000" scaled="0"/>
        </ns0:gradFill>
        <ns0:gradFill>
          <ns0:gsLst>
            <ns0:gs pos="0">
              <ns0:schemeClr val="phClr">
                <ns0:hueOff val="-2520000"/>
              </ns0:schemeClr>
            </ns0:gs>
            <ns0:gs pos="100000">
              <ns0:schemeClr val="phClr"/>
            </ns0:gs>
          </ns0:gsLst>
          <ns0:lin ang="2700000" scaled="0"/>
        </ns0:gradFill>
      </ns0:fillStyleLst>
      <ns0:lnStyleLst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gradFill>
            <ns0:gsLst>
              <ns0:gs pos="0">
                <ns0:schemeClr val="phClr">
                  <ns0:hueOff val="-4200000"/>
                </ns0:schemeClr>
              </ns0:gs>
              <ns0:gs pos="100000">
                <ns0:schemeClr val="phClr"/>
              </ns0:gs>
            </ns0:gsLst>
            <ns0:lin ang="2700000" scaled="1"/>
          </ns0:gradFill>
          <ns0:prstDash val="solid"/>
          <ns0:miter lim="800000"/>
        </ns0:ln>
      </ns0:lnStyleLst>
      <ns0:effectStyleLst>
        <ns0:effectStyle>
          <ns0:effectLst>
            <ns0:outerShdw blurRad="101600" dist="50800" dir="5400000" algn="ctr" rotWithShape="0">
              <ns0:schemeClr val="phClr">
                <ns0:alpha val="60000"/>
              </ns0:schemeClr>
            </ns0:outerShdw>
          </ns0:effectLst>
        </ns0:effectStyle>
        <ns0:effectStyle>
          <ns0:effectLst>
            <ns0:reflection stA="50000" endA="300" endPos="40000" dist="25400" dir="5400000" sy="-100000" algn="bl" rotWithShape="0"/>
          </ns0:effectLst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</ns0:theme>
</file>

<file path=docProps/core.xml><?xml version="1.0" encoding="utf-8"?>
<cp:coreProperties xmlns:cp="http://schemas.openxmlformats.org/package/2006/metadata/core-properties" xmlns:dc="http://purl.org/dc/elements/1.1/">
  <dc:title>Supplemental Material for “Commissioning-Calibrated GP-HOCBF Safety Filtering for Ultra-Supercritical Boiler-Turbine Control under Model Mismatch”</dc:title>
  <dc:creator/>
  <cp:keywords/>
</cp:coreProperties>
</file>