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32.png" ContentType="image/png"/>
  <ns0:Override PartName="/word/media/rId71.png" ContentType="image/png"/>
  <ns0:Override PartName="/word/media/rId75.png" ContentType="image/png"/>
  <ns0:Override PartName="/word/media/rId56.png" ContentType="image/png"/>
  <ns0:Override PartName="/word/media/rId48.png" ContentType="image/png"/>
  <ns0:Override PartName="/word/media/rId52.png" ContentType="image/png"/>
  <ns0:Override PartName="/word/media/rId67.png" ContentType="image/png"/>
  <ns0:Override PartName="/word/media/rId61.png" ContentType="image/png"/>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rPr>
        <w:t xml:space="preserve">Ultra-supercritical power-unit coordinated control must enforce pressure, separator-enthalpy, and power limits even when changing coal quality, heat absorption, and process dynamics invalidate the nominal model. Under this mismatch, a command accepted by the coordinated controller can still drive constrained variables toward their limits. This paper proposes RoCBF-SF, a commissioning-calibrated Gaussian-process high-order control barrier function (GP-HOCBF) safety filter placed between an existing controller and the actuators. Three GP models correct drift residuals, posterior uncertainty is propagated through the HOCBF chain, and a one-step quadratic program projects each proposed command. In a seven-state, actuator-augmented benchmark with</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HOCBF without GP correction records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 violating samples among 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samples from six mismatch scenarios. The predeclared tune/test rule selects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the resulting GP-mean filter and an NMPC reference each record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observed violations in the primary sweep, and the fixed filter setting records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and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 rejections on held-out seeds. By contrast, the implemented full-margin endpoint rejects 149</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800/150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mismatch-scenario QPs under the tested actuator limits. Plant evidence from a 660 MW ultra-supercritical unit provides a separate operating-context cohort, a native-5 s matched response pair, and 4320 confirmed high-load controller-export records. In the matched pair, pressure-error standard deviation decreases from 0.375 to 0.156 MPa. The controller exports cover 480.7–629.7 MW: two windows retain full-QP operation, one records 43 guarded reduced-QP recoveries, and the maximum total task time is 28.665 ms against a 1000 ms deadline. These results support a deployable safety-filter workflow while distinguishing finite-sample calibration, observational plant response, controller execution, and the conditions required for a formal certificate.</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rPr>
        <w:t>3</w:t>
      </w:r>
      <w:r>
        <w:rPr>
          <w:rFonts w:ascii="Times New Roman" w:hAnsi="Times New Roman" w:eastAsia="Times New Roman" w:cs="Times New Roman"/>
          <w:sz w:val="20"/>
          <w:szCs w:val="20"/>
        </w:rPr>
        <w:t>. Relative degree must be defined with respect to the controller command rather than an unmeasured actuator state. After the fuel, feedwater, and turbine-valve dynamics are included, each pressure, separator-enthalpy, and power limit used here has command-level relative degree two. High-order CBFs (HOCBFs)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therefore needed to preserve the constraint dynamics. A first-order CBF baseline would incorrectly assume that the commanded input appears in the first barrier derivative; that structural error is distinct from the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rPr>
        <w:t xml:space="preserve">For boiler-turbine control, the difficulty is structural. The selected pressure, separator-enthalpy, and power limits are command-level relative-degree-two constraints, and residual uncertainty propagates through the HOCBF recursion rather than appearing only at the final constraint row. Applying the full implemented margin can over-tighten the online QP, reduce actuator authority, or trigger fallback behavior. Applying no margin can also be unsafe when the perturbation is state-dependent and amplifies along the trajectory. The unresolved question is therefore not only how to construct a GP-HOCBF margin, but how much of that margin should be applied in real time for the residual structure observed during commissioning.</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rPr>
        <w:t xml:space="preserve">Downstream safety-filter architecture for boiler-turbine process control.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preserves the upstream controller while enforcing command-level relative-degree-two pressure, separator-enthalpy, and power constraints obtained from an actuator-augmented process model.</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rPr>
        <w:t xml:space="preserve">Commissioning-calibrated robustness factor.</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scalar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interpolates between mean-corrected operation and the full implemented uncertainty margin, with diagnostics for selecting this factor under additive and state-dependent mismatch.</w:t>
      </w:r>
    </w:p>
    <w:p>
      <w:pPr>
        <w:numPr>
          <w:ilvl w:val="0"/>
          <w:numId w:val="1001"/>
        </w:numPr>
        <w:jc w:val="left"/>
      </w:pPr>
      <w:r>
        <w:rPr>
          <w:rFonts w:ascii="Times New Roman" w:hAnsi="Times New Roman" w:eastAsia="Times New Roman" w:cs="Times New Roman"/>
          <w:b/>
          <w:bCs/>
          <w:sz w:val="20"/>
          <w:szCs w:val="20"/>
        </w:rPr>
        <w:t xml:space="preserve">Simulation validation and measured-operation evidence.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approach is evaluated on an actuator-augmented boiler-turbine benchmark, while bounded production historian records and controller-log exports from a 660 MW ultra-supercritical unit provide response, execution, feasibility, and latency evidence under measured operation.</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rPr>
        <w:t>Control barrier functions enforce forward invariance through QP-based control projection</w:t>
      </w:r>
      <w:r>
        <w:rPr>
          <w:rFonts w:ascii="Times New Roman" w:hAnsi="Times New Roman" w:eastAsia="Times New Roman" w:cs="Times New Roman"/>
          <w:sz w:val="20"/>
          <w:szCs w:val="20"/>
          <w:vertAlign w:val="superscript"/>
        </w:rPr>
        <w:t>3,24</w:t>
      </w:r>
      <w:r>
        <w:rPr>
          <w:rFonts w:ascii="Times New Roman" w:hAnsi="Times New Roman" w:eastAsia="Times New Roman" w:cs="Times New Roman"/>
          <w:sz w:val="20"/>
          <w:szCs w:val="20"/>
        </w:rPr>
        <w:t>. HOCBFs extend this idea to high-relative-degree constraints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They are necessary here because actuator dynamics delay the effect of each controller command, making the selected pressure, enthalpy, and power barriers relative degree two at the command interface. Robust and adaptive CBF formulations add disturbance or parameter margins</w:t>
      </w:r>
      <w:r>
        <w:rPr>
          <w:rFonts w:ascii="Times New Roman" w:hAnsi="Times New Roman" w:eastAsia="Times New Roman" w:cs="Times New Roman"/>
          <w:sz w:val="20"/>
          <w:szCs w:val="20"/>
          <w:vertAlign w:val="superscript"/>
        </w:rPr>
        <w:t>25–27</w:t>
      </w:r>
      <w:r>
        <w:rPr>
          <w:rFonts w:ascii="Times New Roman" w:hAnsi="Times New Roman" w:eastAsia="Times New Roman" w:cs="Times New Roman"/>
          <w:sz w:val="20"/>
          <w:szCs w:val="20"/>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rPr>
        <w:t>28</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rPr>
        <w:t>29</w:t>
      </w:r>
      <w:r>
        <w:rPr>
          <w:rFonts w:ascii="Times New Roman" w:hAnsi="Times New Roman" w:eastAsia="Times New Roman" w:cs="Times New Roman"/>
          <w:sz w:val="20"/>
          <w:szCs w:val="20"/>
        </w:rPr>
        <w:t>, sampled-data CBFs address the gap between continuous-time design and discrete-time implementation</w:t>
      </w:r>
      <w:r>
        <w:rPr>
          <w:rFonts w:ascii="Times New Roman" w:hAnsi="Times New Roman" w:eastAsia="Times New Roman" w:cs="Times New Roman"/>
          <w:sz w:val="20"/>
          <w:szCs w:val="20"/>
          <w:vertAlign w:val="superscript"/>
        </w:rPr>
        <w:t>30</w:t>
      </w:r>
      <w:r>
        <w:rPr>
          <w:rFonts w:ascii="Times New Roman" w:hAnsi="Times New Roman" w:eastAsia="Times New Roman" w:cs="Times New Roman"/>
          <w:sz w:val="20"/>
          <w:szCs w:val="20"/>
        </w:rPr>
        <w:t>, and recent stochastic discrete-time CBF work studies robustness under uncertainty</w:t>
      </w:r>
      <w:r>
        <w:rPr>
          <w:rFonts w:ascii="Times New Roman" w:hAnsi="Times New Roman" w:eastAsia="Times New Roman" w:cs="Times New Roman"/>
          <w:sz w:val="20"/>
          <w:szCs w:val="20"/>
          <w:vertAlign w:val="superscript"/>
        </w:rPr>
        <w:t>31</w:t>
      </w:r>
      <w:r>
        <w:rPr>
          <w:rFonts w:ascii="Times New Roman" w:hAnsi="Times New Roman" w:eastAsia="Times New Roman" w:cs="Times New Roman"/>
          <w:sz w:val="20"/>
          <w:szCs w:val="20"/>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rPr>
        <w:t>For high-order constraints, the comparison is narrower. Aali and Liu</w:t>
      </w:r>
      <w:r>
        <w:rPr>
          <w:rFonts w:ascii="Times New Roman" w:hAnsi="Times New Roman" w:eastAsia="Times New Roman" w:cs="Times New Roman"/>
          <w:sz w:val="20"/>
          <w:szCs w:val="20"/>
          <w:vertAlign w:val="superscript"/>
        </w:rPr>
        <w:t>10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rPr>
        <w:t>11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real-time sparse-GP HOCBF filter for high-order robotic systems. These methods show that GP uncertainty can support HOCBF safety filters, but they do not target command-level relative-degree-two boiler–turbine constraints, DCS deployment, or commissioning diagnostics based on plant historian and controller-log records. Existing robust CBF and GP-CBF formulations also tend to interpret the uncertainty margin as a certificate-driven tightening term. In actuator-limited process-control loops, however, feasibility, fallback activation, and retained control authority are themselves safety-relevant. This leaves a commissioning question: how should residual-data coverage and replay diagnostics determine the usable fraction of the GP-HOCBF margin?</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rPr>
        <w:t xml:space="preserve">Online operation has three steps: evaluate the GP residual model, build the command-level relative-degree-two HOCBF rows,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The theorem states the conditions under which the full implemented-margin endpoint yields continuous-time forward invariance.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summarizes the overlay architecture. The upstream controller produces a deviation command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around the LQR-stabilized equilibrium controller, and the safety filter returns the nearest admissible command</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The normalized deviation command satisfies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20"/>
          <w:szCs w:val="20"/>
        </w:rPr>
        <w:t xml:space="preserve">. With the physical per-cycle command scales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diag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40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coal-feed, feedwater-flow, and turbine-valve commands. The HOCBF and QP are formulated in normalized deviation coordinates. Let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exp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B</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The sample-matched affine surrogate used to build the benchmark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acc>
                  <ns1:accPr>
                    <ns1:chr ns1:val="̇"/>
                  </ns1:accPr>
                  <ns1:e>
                    <ns1:r>
                      <w:rPr>
                        <w:rFonts w:ascii="Times New Roman" w:hAnsi="Times New Roman" w:eastAsia="Times New Roman" w:cs="Times New Roman"/>
                      </w:rPr>
                      <ns1:t>ξ</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s</ns1:t>
                    </ns1:r>
                  </ns1:sub>
                </ns1:sSub>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s</ns1:t>
                    </ns1:r>
                  </ns1:sub>
                </ns1:sSub>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ξ</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rPr>
        <w:t xml:space="preserve">Its forward-Euler update 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ξ</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sSub>
          <ns1:e>
            <ns1:r>
              <w:rPr>
                <w:rFonts w:ascii="Times New Roman" w:hAnsi="Times New Roman" w:eastAsia="Times New Roman" w:cs="Times New Roman"/>
              </w:rPr>
              <ns1:t>ξ</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B</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ξ</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ξ</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which is the controller-instant transition used in the numerical rollouts. This construction preserves the continuous command-level relative degree induced by the actuator states. It is a benchmark surrogate rather than a sampled-data safety certificate.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lists the benchmark constraint definitions alongside the principal GP, QP, fallback, and runtime settings. Field-specific direct bounds are reported with the plant-controller evidence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w:t>
      </w:r>
    </w:p>
    <w:p>
      <w:pPr>
        <w:jc w:val="left"/>
        <w:spacing w:before="80" w:after="120"/>
        <w:keepLines/>
      </w:pPr>
      <w:r>
        <w:rPr>
          <w:rFonts w:ascii="Times New Roman" w:hAnsi="Times New Roman" w:eastAsia="Times New Roman" w:cs="Times New Roman"/>
          <w:sz w:val="20"/>
          <w:szCs w:val="20"/>
          <w:b/>
          <w:bCs/>
        </w:rPr>
        <w:t xml:space="preserve">Table 1. </w:t>
      </w:r>
      <w:r>
        <w:rPr>
          <w:rFonts w:ascii="Times New Roman" w:hAnsi="Times New Roman" w:eastAsia="Times New Roman" w:cs="Times New Roman"/>
          <w:sz w:val="20"/>
          <w:szCs w:val="20"/>
        </w:rPr>
        <w:t xml:space="preserve">Benchmark constraint definitions and principal implementation settings used by the RoCBF-SF safety filter. Field-specific direct bounds are reported separately with the plant-controller evidence.</w:t>
      </w:r>
    </w:p>
    <w:tbl>
      <w:tblPr>
        <w:tblStyle w:val="Table"/>
        <w:tblW w:type="dxa" w:w="8500"/>
        <w:tblLook w:firstRow="1" w:lastRow="0" w:firstColumn="0" w:lastColumn="0" w:noHBand="0" w:noVBand="0" w:val="0020"/>
        <w:tblCaption w:val="Table 1. Benchmark constraint definitions and principal implementation settings used by the RoCBF-SF safety filter. Field-specific direct bounds are reported separately with the plant-controller evidence."/>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cantSplit/>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state</w:t>
            </w:r>
          </w:p>
        </w:tc>
        <w:tc>
          <w:tcPr>
            <w:tcW w:w="2200" w:type="dxa"/>
            <w:tcBorders>
              <w:top w:val="nil"/>
              <w:bottom w:val="nil"/>
              <w:left w:val="nil"/>
              <w:right w:val="nil"/>
              <w:insideH w:val="nil"/>
              <w:insideV w:val="nil"/>
            </w:tcBorders>
          </w:tcPr>
          <w:p>
            <w:pPr>
              <w:pStyle w:val="13"/>
              <w:jc w:val="left"/>
            </w:pP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Five process states from the reference model plus measured feedwater and valve actuator states.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input/output</w:t>
            </w:r>
          </w:p>
        </w:tc>
        <w:tc>
          <w:tcPr>
            <w:tcW w:w="2200" w:type="dxa"/>
            <w:tcBorders>
              <w:top w:val="nil"/>
              <w:bottom w:val="nil"/>
              <w:left w:val="nil"/>
              <w:right w:val="nil"/>
              <w:insideH w:val="nil"/>
              <w:insideV w:val="nil"/>
            </w:tcBorders>
          </w:tcPr>
          <w:p>
            <w:pPr>
              <w:pStyle w:val="13"/>
              <w:jc w:val="left"/>
            </w:pPr>
            <ns1:oMath>
              <ns1:sSubSup>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Constrained outputs used by the residual GPs; all seven states and three proposed commands remain inputs to the nominal one-step predictor.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ns1:oMath>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diag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40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Physical commands are reconstructed from normalized</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18"/>
                <w:szCs w:val="18"/>
              </w:rPr>
              <w:t xml:space="preserv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pressure constraint</w:t>
            </w:r>
          </w:p>
        </w:tc>
        <w:tc>
          <w:tcPr>
            <w:tcW w:w="2200" w:type="dxa"/>
            <w:tcBorders>
              <w:top w:val="nil"/>
              <w:bottom w:val="nil"/>
              <w:left w:val="nil"/>
              <w:right w:val="nil"/>
              <w:insideH w:val="nil"/>
              <w:insideV w:val="nil"/>
            </w:tcBorders>
          </w:tcPr>
          <w:p>
            <w:pPr>
              <w:pStyle w:val="13"/>
              <w:jc w:val="left"/>
            </w:pP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13</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24</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18"/>
                <w:szCs w:val="18"/>
              </w:rPr>
              <w:t xml:space="preserve"> MPa;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18"/>
                <w:szCs w:val="18"/>
              </w:rPr>
              <w:t xml:space="preserve">-levels.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enthalpy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2670–2830 kJ/kg;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Actuator-augmented heat-absorption safety constraint.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power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Band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oMath>
            <w:r>
              <w:rPr>
                <w:rFonts w:ascii="Times New Roman" w:hAnsi="Times New Roman" w:eastAsia="Times New Roman" w:cs="Times New Roman"/>
                <w:sz w:val="18"/>
                <w:szCs w:val="18"/>
              </w:rPr>
              <w:t xml:space="preserve"> MW;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Actuator-augmented generator-output constraint around the dispatch target.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18"/>
                <w:szCs w:val="18"/>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 QP solved once per controller cycle; plant-validation exports use 5 s record spacing.</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Three 500-point Matérn-5/2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Learns pressure, enthalpy, and power residual-rate means and posterior uncertainties; 200 time-isolated points are retained for validation.</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qpax, row scaling, box/rate constraints,</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Projects</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the nearest admissible</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rejects non-converged or infeasible candidates.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One guarded</w:t>
            </w:r>
            <w:r>
              <w:rPr>
                <w:rFonts w:ascii="Times New Roman" w:hAnsi="Times New Roman" w:eastAsia="Times New Roman" w:cs="Times New Roman"/>
                <w:sz w:val="18"/>
                <w:szCs w:val="18"/>
              </w:rPr>
              <w:t xml:space="preserve"> </w:t>
            </w:r>
            <w:r>
              <w:rPr>
                <w:rFonts w:ascii="Times New Roman" w:hAnsi="Times New Roman" w:eastAsia="Times New Roman" w:cs="Times New Roman"/>
                <w:rStyle w:val="VerbatimChar"/>
                <w:sz w:val="18"/>
                <w:szCs w:val="18"/>
              </w:rPr>
              <w:t xml:space="preserve">pressure_low</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The guarded retry is outside the full-row certificate; actuator rows are never removed.</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Field exports report QP and total-task timing against the deployed deadline.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AMD EPYC Embedded 4565P; 64 GB (2</w:t>
            </w:r>
            <w:r>
              <w:rPr>
                <w:rFonts w:ascii="Times New Roman" w:hAnsi="Times New Roman" w:eastAsia="Times New Roman" w:cs="Times New Roman"/>
                <w:sz w:val="18"/>
                <w:szCs w:val="18"/>
              </w:rPr>
              <w:t>×</w:t>
            </w:r>
            <w:r>
              <w:rPr>
                <w:rFonts w:ascii="Times New Roman" w:hAnsi="Times New Roman" w:eastAsia="Times New Roman" w:cs="Times New Roman"/>
                <w:sz w:val="18"/>
                <w:szCs w:val="18"/>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Deployed controller compute platform; data exchange with the DCS uses Modbus TCP.</w:t>
            </w:r>
          </w:p>
        </w:tc>
      </w:tr>
      <w:tr>
        <w:trPr>
          <w:cantSplit/>
        </w:trP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Build the mean-corrected command-level relative-degree-two HOCBF constraints.</w:t>
      </w:r>
    </w:p>
    <w:p>
      <w:pPr>
        <w:numPr>
          <w:ilvl w:val="0"/>
          <w:numId w:val="1002"/>
        </w:numPr>
        <w:jc w:val="left"/>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arg min</ns1:t>
                    </ns1:r>
                  </ns1:e>
                  <ns1:sub>
                    <ns1: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bSup>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up>
                    <ns1:r>
                      <w:rPr>
                        <w:rFonts w:ascii="Times New Roman" w:hAnsi="Times New Roman" w:eastAsia="Times New Roman" w:cs="Times New Roman"/>
                      </w:rPr>
                      <ns1:t>2</ns1:t>
                    </ns1:r>
                  </ns1:sup>
                </ns1:sSubSup>
                <ns1:r>
                  <w:rPr>
                    <w:rFonts w:ascii="Times New Roman" w:hAnsi="Times New Roman" w:eastAsia="Times New Roman" w:cs="Times New Roman"/>
                  </w:rPr>
                  <ns1:t> </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rPr>
        <w:t xml:space="preserve">Apply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rPr>
        <w:t xml:space="preserve">Notation summary.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benchmark state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 state. The physical command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u</ns1:t>
        </ns1:r>
      </ns1:oMath>
      <w:r>
        <w:rPr>
          <w:rFonts w:ascii="Times New Roman" w:hAnsi="Times New Roman" w:eastAsia="Times New Roman" w:cs="Times New Roman"/>
          <w:sz w:val="20"/>
          <w:szCs w:val="20"/>
        </w:rPr>
        <w:t xml:space="preserve">, while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normalized command deviation optimized by the safety filter. The upstream controller proposes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the QP returns</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and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maps</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back to the physical command. The GP-mean-corrected HOCBF rows are written 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reserved for the no-GP nominal-model ablation. The term</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compositional GP-HOCBF margin,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commissioning factor multiplying that margin.</w:t>
      </w:r>
    </w:p>
    <w:p>
      <w:pPr>
        <w:pStyle w:val="3"/>
        <w:jc w:val="left"/>
        <w:ind w:firstLine="420"/>
      </w:pPr>
      <w:r>
        <w:rPr>
          <w:rFonts w:ascii="Times New Roman" w:hAnsi="Times New Roman" w:eastAsia="Times New Roman" w:cs="Times New Roman"/>
          <w:sz w:val="20"/>
          <w:szCs w:val="20"/>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(4)</w:t>
            </w:r>
          </w:p>
        </w:tc>
      </w:tr>
    </w:tbl>
    <w:p>
      <w:pPr>
        <w:pStyle w:val="11"/>
        <w:jc w:val="left"/>
        <w:ind w:firstLine="420"/>
      </w:pPr>
      <w:r>
        <w:rPr>
          <w:rFonts w:ascii="Times New Roman" w:hAnsi="Times New Roman" w:eastAsia="Times New Roman" w:cs="Times New Roman"/>
          <w:sz w:val="20"/>
          <w:szCs w:val="20"/>
        </w:rPr>
        <w:t xml:space="preserve">Three independent GPs model the corresponding one-step nominal-model residual rates. The benchmark target is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x</ns1:t>
                </ns1:r>
              </ns1:e>
            </ns1:acc>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sub>
          <ns1:sup>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full nominal predictor uses all seven states and all three command deviations;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rPr>
        <w:t xml:space="preserve">Operating-point interpretation.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denotes the complete safety-filter design in Fig.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mean correction alone,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full implemented margin, and Section </w:t>
      </w:r>
      <w:r>
        <w:rPr>
          <w:rFonts w:ascii="Times New Roman" w:hAnsi="Times New Roman" w:eastAsia="Times New Roman" w:cs="Times New Roman"/>
          <w:sz w:val="20"/>
          <w:szCs w:val="20"/>
        </w:rPr>
        <w:t xml:space="preserve">4.3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selects and evaluates the calibrated benchmark operating point.</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acc>
                  <ns1:accPr>
                    <ns1:chr ns1:val="̇"/>
                  </ns1:accPr>
                  <ns1:e>
                    <ns1:r>
                      <w:rPr>
                        <w:rFonts w:ascii="Times New Roman" w:hAnsi="Times New Roman" w:eastAsia="Times New Roman" w:cs="Times New Roman"/>
                      </w:rPr>
                      <ns1:t>x</ns1:t>
                    </ns1:r>
                  </ns1:e>
                </ns1:acc>
                <ns1:r>
                  <ns1:rPr>
                    <ns1:sty ns1:val="p"/>
                  </ns1:rPr>
                  <w:rPr>
                    <w:rFonts w:ascii="Times New Roman" w:hAnsi="Times New Roman" w:eastAsia="Times New Roman" w:cs="Times New Roman"/>
                  </w:rPr>
                  <ns1:t>=</ns1:t>
                </ns1:r>
                <ns1:limLow>
                  <ns1:e>
                    <ns1:limLow>
                      <ns1:e>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e>
                      <ns1:lim>
                        <ns1:r>
                          <ns1:rPr>
                            <ns1:sty ns1:val="p"/>
                          </ns1:rPr>
                          <w:rPr>
                            <w:rFonts w:ascii="Times New Roman" w:hAnsi="Times New Roman" w:eastAsia="Times New Roman" w:cs="Times New Roman"/>
                          </w:rPr>
                          <ns1:t>⏟</ns1:t>
                        </ns1:r>
                      </ns1:lim>
                    </ns1:limLow>
                  </ns1:e>
                  <ns1:lim>
                    <ns1:r>
                      <ns1:rPr>
                        <ns1:nor/>
                        <ns1:sty ns1:val="p"/>
                      </ns1:rPr>
                      <w:rPr>
                        <w:rFonts w:ascii="Times New Roman" w:hAnsi="Times New Roman" w:eastAsia="Times New Roman" w:cs="Times New Roman"/>
                      </w:rPr>
                      <ns1:t>nominal</ns1:t>
                    </ns1:r>
                  </ns1:lim>
                </ns1:limLow>
                <ns1:r>
                  <ns1:rPr>
                    <ns1:sty ns1:val="p"/>
                  </ns1:rPr>
                  <w:rPr>
                    <w:rFonts w:ascii="Times New Roman" w:hAnsi="Times New Roman" w:eastAsia="Times New Roman" w:cs="Times New Roman"/>
                  </w:rPr>
                  <ns1:t>+</ns1:t>
                </ns1:r>
                <ns1:limLow>
                  <ns1:e>
                    <ns1:limLow>
                      <ns1:e>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e>
                      <ns1:lim>
                        <ns1:r>
                          <ns1:rPr>
                            <ns1:sty ns1:val="p"/>
                          </ns1:rPr>
                          <w:rPr>
                            <w:rFonts w:ascii="Times New Roman" w:hAnsi="Times New Roman" w:eastAsia="Times New Roman" w:cs="Times New Roman"/>
                          </w:rPr>
                          <ns1:t>⏟</ns1:t>
                        </ns1:r>
                      </ns1:lim>
                    </ns1:limLow>
                  </ns1:e>
                  <ns1:lim>
                    <ns1:r>
                      <ns1:rPr>
                        <ns1:nor/>
                        <ns1:sty ns1:val="p"/>
                      </ns1:rPr>
                      <w:rPr>
                        <w:rFonts w:ascii="Times New Roman" w:hAnsi="Times New Roman" w:eastAsia="Times New Roman" w:cs="Times New Roman"/>
                      </w:rPr>
                      <ns1:t>residual</ns1:t>
                    </ns1:r>
                  </ns1:lim>
                </ns1:limLow>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p>
                  <ns1:e>
                    <ns1:r>
                      <ns1:rPr>
                        <ns1:scr ns1:val="double-struck"/>
                        <ns1:sty ns1:val="p"/>
                      </ns1:rPr>
                      <w:rPr>
                        <w:rFonts w:ascii="Times New Roman" w:hAnsi="Times New Roman" w:eastAsia="Times New Roman" w:cs="Times New Roman"/>
                      </w:rPr>
                      <ns1:t>R</ns1:t>
                    </ns1:r>
                  </ns1:e>
                  <ns1:sup>
                    <ns1:r>
                      <w:rPr>
                        <w:rFonts w:ascii="Times New Roman" w:hAnsi="Times New Roman" w:eastAsia="Times New Roman" w:cs="Times New Roman"/>
                      </w:rPr>
                      <ns1:t>n</ns1:t>
                    </ns1:r>
                  </ns1:sup>
                </ns1:sSup>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sSup>
                  <ns1:e>
                    <ns1:r>
                      <ns1:rPr>
                        <ns1:scr ns1:val="double-struck"/>
                        <ns1:sty ns1:val="p"/>
                      </ns1:rPr>
                      <w:rPr>
                        <w:rFonts w:ascii="Times New Roman" w:hAnsi="Times New Roman" w:eastAsia="Times New Roman" w:cs="Times New Roman"/>
                      </w:rPr>
                      <ns1:t>R</ns1:t>
                    </ns1:r>
                  </ns1:e>
                  <ns1:sup>
                    <ns1:r>
                      <w:rPr>
                        <w:rFonts w:ascii="Times New Roman" w:hAnsi="Times New Roman" w:eastAsia="Times New Roman" w:cs="Times New Roman"/>
                      </w:rPr>
                      <ns1:t>m</ns1:t>
                    </ns1:r>
                  </ns1:sup>
                </ns1:sSup>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rPr>
        <w:t xml:space="preserve">The benchmark pressure output 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0.13</ns1:t>
        </ns1:r>
        <ns1:sSubSup>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up>
            <ns1:r>
              <w:rPr>
                <w:rFonts w:ascii="Times New Roman" w:hAnsi="Times New Roman" w:eastAsia="Times New Roman" w:cs="Times New Roman"/>
              </w:rPr>
              <ns1:t>0.882</ns1:t>
            </ns1:r>
          </ns1:sup>
        </ns1:sSubSup>
      </ns1:oMath>
      <w:r>
        <w:rPr>
          <w:rFonts w:ascii="Times New Roman" w:hAnsi="Times New Roman" w:eastAsia="Times New Roman" w:cs="Times New Roman"/>
          <w:sz w:val="20"/>
          <w:szCs w:val="20"/>
        </w:rPr>
        <w:t xml:space="preserve">. The six scalar safety barriers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h</ns1:t>
                        </ns1:r>
                      </ns1:e>
                      <ns1:sub>
                        <ns1: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13</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24</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h</ns1:t>
                        </ns1:r>
                      </ns1:e>
                      <ns1:sub>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2670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2830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h</ns1:t>
                        </ns1:r>
                      </ns1:e>
                      <ns1:sub>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(6)</w:t>
            </w:r>
          </w:p>
        </w:tc>
      </w:tr>
    </w:tbl>
    <w:p>
      <w:pPr>
        <w:pStyle w:val="11"/>
        <w:jc w:val="left"/>
        <w:ind w:firstLine="420"/>
      </w:pPr>
      <w:r>
        <w:rPr>
          <w:rFonts w:ascii="Times New Roman" w:hAnsi="Times New Roman" w:eastAsia="Times New Roman" w:cs="Times New Roman"/>
          <w:sz w:val="20"/>
          <w:szCs w:val="20"/>
        </w:rPr>
        <w:t xml:space="preserve">The five process states of the reference model are augmented with first-order feedwater and turbine-valve states, identified as 15 and 6 s from two unsaturated controller-export windows; the existing 30 s fuel-transport state is retained. With controller commands as inputs, all six barriers have relative degree two. This removes the direct-command artifact that would otherwise make separator enthalpy and power relative degree one.</w:t>
      </w:r>
    </w:p>
    <w:p>
      <w:pPr>
        <w:pStyle w:val="3"/>
        <w:jc w:val="left"/>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ψ</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α</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m</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(7)</w:t>
            </w:r>
          </w:p>
        </w:tc>
      </w:tr>
    </w:tbl>
    <w:p>
      <w:pPr>
        <w:pStyle w:val="11"/>
        <w:jc w:val="left"/>
        <w:ind w:firstLine="420"/>
      </w:pPr>
      <w:r>
        <w:rPr>
          <w:rFonts w:ascii="Times New Roman" w:hAnsi="Times New Roman" w:eastAsia="Times New Roman" w:cs="Times New Roman"/>
          <w:sz w:val="20"/>
          <w:szCs w:val="20"/>
        </w:rPr>
        <w:t xml:space="preserve">For the six barriers indexed by</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c</ns1:t>
        </ns1:r>
      </ns1:oMath>
      <w:r>
        <w:rPr>
          <w:rFonts w:ascii="Times New Roman" w:hAnsi="Times New Roman" w:eastAsia="Times New Roman" w:cs="Times New Roman"/>
          <w:sz w:val="20"/>
          <w:szCs w:val="20"/>
        </w:rPr>
        <w:t xml:space="preserve">, with relative degree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oMath>
      <w:r>
        <w:rPr>
          <w:rFonts w:ascii="Times New Roman" w:hAnsi="Times New Roman" w:eastAsia="Times New Roman" w:cs="Times New Roman"/>
          <w:sz w:val="20"/>
          <w:szCs w:val="20"/>
        </w:rPr>
        <w:t xml:space="preserve">, define the recursive HOCBF admissible set under the true dynamics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ns1:rPr>
                        <ns1:scr ns1:val="script"/>
                        <ns1:sty ns1:val="p"/>
                      </ns1:rPr>
                      <w:rPr>
                        <w:rFonts w:ascii="Times New Roman" w:hAnsi="Times New Roman" w:eastAsia="Times New Roman" w:cs="Times New Roman"/>
                      </w:rPr>
                      <ns1:t>C</ns1:t>
                    </ns1:r>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ψ</ns1:t>
                    </ns1:r>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e</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ns1:rPr>
                    <ns1:scr ns1:val="script"/>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limLow>
                  <ns1:e>
                    <ns1:limUpp>
                      <ns1:e>
                        <ns1:r>
                          <ns1:rPr>
                            <ns1:sty ns1:val="p"/>
                          </ns1:rPr>
                          <w:rPr>
                            <w:rFonts w:ascii="Times New Roman" w:hAnsi="Times New Roman" w:eastAsia="Times New Roman" w:cs="Times New Roman"/>
                          </w:rPr>
                          <ns1:t>⋂</ns1:t>
                        </ns1:r>
                      </ns1:e>
                      <ns1:lim>
                        <ns1:r>
                          <w:rPr>
                            <w:rFonts w:ascii="Times New Roman" w:hAnsi="Times New Roman" w:eastAsia="Times New Roman" w:cs="Times New Roman"/>
                          </w:rPr>
                          <ns1:t>6</ns1:t>
                        </ns1:r>
                      </ns1:lim>
                    </ns1:limUpp>
                  </ns1:e>
                  <ns1:lim>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lim>
                </ns1:limLow>
                <ns1:limLow>
                  <ns1:e>
                    <ns1:limUpp>
                      <ns1:e>
                        <ns1:r>
                          <ns1:rPr>
                            <ns1:sty ns1:val="p"/>
                          </ns1:rPr>
                          <w:rPr>
                            <w:rFonts w:ascii="Times New Roman" w:hAnsi="Times New Roman" w:eastAsia="Times New Roman" w:cs="Times New Roman"/>
                          </w:rPr>
                          <ns1:t>⋂</ns1:t>
                        </ns1:r>
                      </ns1:e>
                      <ns1:lim>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lim>
                    </ns1:limUpp>
                  </ns1:e>
                  <ns1:lim>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lim>
                </ns1:limLow>
                <ns1:sSub>
                  <ns1:e>
                    <ns1:r>
                      <ns1:rPr>
                        <ns1:scr ns1:val="script"/>
                        <ns1:sty ns1:val="p"/>
                      </ns1:rPr>
                      <w:rPr>
                        <w:rFonts w:ascii="Times New Roman" w:hAnsi="Times New Roman" w:eastAsia="Times New Roman" w:cs="Times New Roman"/>
                      </w:rPr>
                      <ns1:t>C</ns1:t>
                    </ns1:r>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(8)</w:t>
            </w:r>
          </w:p>
        </w:tc>
      </w:tr>
    </w:tbl>
    <w:p>
      <w:pPr>
        <w:pStyle w:val="11"/>
        <w:jc w:val="left"/>
        <w:ind w:firstLine="420"/>
      </w:pPr>
      <w:r>
        <w:rPr>
          <w:rFonts w:ascii="Times New Roman" w:hAnsi="Times New Roman" w:eastAsia="Times New Roman" w:cs="Times New Roman"/>
          <w:sz w:val="20"/>
          <w:szCs w:val="20"/>
        </w:rPr>
        <w:t xml:space="preserve">With linear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α</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w:rPr>
            <w:rFonts w:ascii="Times New Roman" w:hAnsi="Times New Roman" w:eastAsia="Times New Roman" w:cs="Times New Roman"/>
          </w:rPr>
          <ns1:t>r</ns1:t>
        </ns1:r>
      </ns1:oMath>
      <w:r>
        <w:rPr>
          <w:rFonts w:ascii="Times New Roman" w:hAnsi="Times New Roman" w:eastAsia="Times New Roman" w:cs="Times New Roman"/>
          <w:sz w:val="20"/>
          <w:szCs w:val="20"/>
        </w:rPr>
        <w:t xml:space="preserve">, substituting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into the stabilized model gives a top-level affine row. For the GP-mean-corrected drift</w:t>
      </w:r>
      <w:r>
        <w:rPr>
          <w:rFonts w:ascii="Times New Roman" w:hAnsi="Times New Roman" w:eastAsia="Times New Roman" w:cs="Times New Roman"/>
          <w:sz w:val="20"/>
          <w:szCs w:val="20"/>
        </w:rPr>
        <w:t xml:space="preserve"> </w:t>
      </w:r>
      <ns1:oMath>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this row is defined by</w:t>
      </w:r>
      <w:r>
        <w:rPr>
          <w:rFonts w:ascii="Times New Roman" w:hAnsi="Times New Roman" w:eastAsia="Times New Roman" w:cs="Times New Roman"/>
          <w:sz w:val="20"/>
          <w:szCs w:val="20"/>
        </w:rPr>
        <w:t xml:space="preserve"> </w:t>
      </w:r>
      <ns1:oMath>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is stacked 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Applying the same construction to</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without GP correction gives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which is used only for the no-GP ablation. This convention keeps all six command-level relative-degree-two rows and the normalized QP decision variable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same coordinates.</w:t>
      </w:r>
    </w:p>
    <w:p>
      <w:pPr>
        <w:jc w:val="center"/>
        <w:keepNext/>
      </w:pPr>
      <w:r>
        <w:rPr>
          <w:rFonts w:ascii="Times New Roman" w:hAnsi="Times New Roman" w:eastAsia="Times New Roman" w:cs="Times New Roman"/>
          <w:sz w:val="20"/>
          <w:szCs w:val="20"/>
        </w:rPr>
        <w:drawing>
          <ns2:inline>
            <ns2:extent cx="5270500" cy="2530763"/>
            <ns2:effectExtent b="0" l="0" r="0" t="0"/>
            <ns2:docPr descr="" title="" id="33" name="Picture"/>
            <ns3:graphic>
              <ns3:graphicData uri="http://schemas.openxmlformats.org/drawingml/2006/picture">
                <ns4:pic>
                  <ns4:nvPicPr>
                    <ns4:cNvPr descr="figures/Figure_1.png" id="34" name="Picture"/>
                    <ns4:cNvPicPr>
                      <ns3:picLocks noChangeArrowheads="1" noChangeAspect="1"/>
                    </ns4:cNvPicPr>
                  </ns4:nvPicPr>
                  <ns4:blipFill>
                    <ns3:blip ns5:embed="rId32"/>
                    <ns3:stretch>
                      <ns3:fillRect/>
                    </ns3:stretch>
                  </ns4:blipFill>
                  <ns4:spPr bwMode="auto">
                    <ns3:xfrm>
                      <ns3:off x="0" y="0"/>
                      <ns3:ext cx="5270500" cy="25307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1. </w:t>
      </w:r>
      <w:r>
        <w:rPr>
          <w:rFonts w:ascii="Times New Roman" w:hAnsi="Times New Roman" w:eastAsia="Times New Roman" w:cs="Times New Roman"/>
          <w:sz w:val="20"/>
          <w:szCs w:val="20"/>
        </w:rPr>
        <w:t xml:space="preserve">RoCBF-SF safety-filtering architecture. The upstream controller (LQR, MPC, PID, or learned policy) proposes a normalized deviation command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physical command is reconstructed with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rPr>
        <w:t xml:space="preserve">Each modeled component of</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j</ns1:t>
            </ns1:r>
          </ns1:sub>
        </ns1:sSub>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is represented by an independent GP with a Matérn-5/2 kernel. Kernel distances use the frozen training transform</w:t>
      </w:r>
      <w:r>
        <w:rPr>
          <w:rFonts w:ascii="Times New Roman" w:hAnsi="Times New Roman" w:eastAsia="Times New Roman" w:cs="Times New Roman"/>
          <w:sz w:val="20"/>
          <w:szCs w:val="20"/>
        </w:rPr>
        <w:t xml:space="preserve"> </w:t>
      </w:r>
      <ns1:oMath>
        <ns1:sSub>
          <ns1:e>
            <ns1:acc>
              <ns1:accPr>
                <ns1:chr ns1:val="̃"/>
              </ns1:accPr>
              <ns1:e>
                <ns1:r>
                  <w:rPr>
                    <w:rFonts w:ascii="Times New Roman" w:hAnsi="Times New Roman" w:eastAsia="Times New Roman" w:cs="Times New Roman"/>
                  </w:rPr>
                  <ns1:t>x</ns1:t>
                </ns1:r>
              </ns1:e>
            </ns1:acc>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μ</ns1:t>
            </ns1:r>
          </ns1:e>
          <ns1:sub>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s</ns1:t>
            </ns1:r>
          </ns1:e>
          <ns1:sub>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oMath>
      <w:r>
        <w:rPr>
          <w:rFonts w:ascii="Times New Roman" w:hAnsi="Times New Roman" w:eastAsia="Times New Roman" w:cs="Times New Roman"/>
          <w:sz w:val="20"/>
          <w:szCs w:val="20"/>
        </w:rPr>
        <w:t xml:space="preserve">; the standard-deviation floor is</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training points, the posterior provides mean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variance</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up>
            <ns1:r>
              <w:rPr>
                <w:rFonts w:ascii="Times New Roman" w:hAnsi="Times New Roman" w:eastAsia="Times New Roman" w:cs="Times New Roman"/>
              </w:rPr>
              <ns1:t>2</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(9)</w:t>
            </w:r>
          </w:p>
        </w:tc>
      </w:tr>
    </w:tbl>
    <w:p>
      <w:pPr>
        <w:pStyle w:val="11"/>
        <w:jc w:val="left"/>
        <w:ind w:firstLine="420"/>
      </w:pPr>
      <w:r>
        <w:rPr>
          <w:rFonts w:ascii="Times New Roman" w:hAnsi="Times New Roman" w:eastAsia="Times New Roman" w:cs="Times New Roman"/>
          <w:sz w:val="20"/>
          <w:szCs w:val="20"/>
        </w:rPr>
        <w:t xml:space="preserve">with joint probability at least</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sz w:val="20"/>
          <w:szCs w:val="20"/>
        </w:rPr>
        <w:t xml:space="preserve">. A standard RKHS sufficient multiplier includes both a residual RKHS-norm bound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B</ns1:t>
            </ns1:r>
          </ns1:e>
          <ns1:sub>
            <ns1:r>
              <ns1:rPr>
                <ns1:sty ns1:val="p"/>
              </ns1:rPr>
              <w:rPr>
                <w:rFonts w:ascii="Times New Roman" w:hAnsi="Times New Roman" w:eastAsia="Times New Roman" w:cs="Times New Roman"/>
              </w:rPr>
              <ns1:t>Δ</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a sub-Gaussian noise scale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R</ns1:t>
        </ns1:r>
      </ns1:oMath>
      <w:r>
        <w:rPr>
          <w:rFonts w:ascii="Times New Roman" w:hAnsi="Times New Roman" w:eastAsia="Times New Roman" w:cs="Times New Roman"/>
          <w:sz w:val="20"/>
          <w:szCs w:val="20"/>
        </w:rPr>
        <w:t xml:space="preserve">, for example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K</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ns1:rPr>
                <ns1:sty ns1:val="p"/>
              </ns1:rPr>
              <w:rPr>
                <w:rFonts w:ascii="Times New Roman" w:hAnsi="Times New Roman" w:eastAsia="Times New Roman" w:cs="Times New Roman"/>
              </w:rPr>
              <ns1:t>Δ</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R</ns1:t>
        </ns1:r>
        <ns1:rad>
          <ns1:radPr>
            <ns1:degHide ns1:val="on"/>
          </ns1:radPr>
          <ns1:deg/>
          <ns1:e>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γ</ns1:t>
                </ns1:r>
              </ns1:e>
              <ns1:sub>
                <ns1: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rad>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modeled outputs</w:t>
      </w:r>
      <w:r>
        <w:rPr>
          <w:rFonts w:ascii="Times New Roman" w:hAnsi="Times New Roman" w:eastAsia="Times New Roman" w:cs="Times New Roman"/>
          <w:sz w:val="20"/>
          <w:szCs w:val="20"/>
          <w:vertAlign w:val="superscript"/>
        </w:rPr>
        <w:t>34</w:t>
      </w:r>
      <w:r>
        <w:rPr>
          <w:rFonts w:ascii="Times New Roman" w:hAnsi="Times New Roman" w:eastAsia="Times New Roman" w:cs="Times New Roman"/>
          <w:sz w:val="20"/>
          <w:szCs w:val="20"/>
        </w:rPr>
        <w:t xml:space="preserve">. The numerical studies and deployed configuration instead retain the fixed commissioning multiplier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ad>
          <ns1:radPr>
            <ns1:degHide ns1:val="on"/>
          </ns1:radPr>
          <ns1:deg/>
          <ns1:e>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γ</ns1:t>
                </ns1:r>
              </ns1:e>
              <ns1:sub>
                <ns1: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rad>
      </ns1:oMath>
      <w:r>
        <w:rPr>
          <w:rFonts w:ascii="Times New Roman" w:hAnsi="Times New Roman" w:eastAsia="Times New Roman" w:cs="Times New Roman"/>
          <w:sz w:val="20"/>
          <w:szCs w:val="20"/>
        </w:rPr>
        <w:t xml:space="preserve">. This engineering scaling rule defines the reported posterior envelope but does not, by itself, establish Eq. </w:t>
      </w:r>
      <w:r>
        <w:rPr>
          <w:rFonts w:ascii="Times New Roman" w:hAnsi="Times New Roman" w:eastAsia="Times New Roman" w:cs="Times New Roman"/>
          <w:sz w:val="20"/>
          <w:szCs w:val="20"/>
        </w:rPr>
        <w:t xml:space="preserve">(9)</w:t>
      </w:r>
      <w:r>
        <w:rPr>
          <w:rFonts w:ascii="Times New Roman" w:hAnsi="Times New Roman" w:eastAsia="Times New Roman" w:cs="Times New Roman"/>
          <w:sz w:val="20"/>
          <w:szCs w:val="20"/>
        </w:rPr>
        <w:t xml:space="preserve">;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applies only when that event is independently valid.</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ns1:oMath>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i</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sub>
          <ns1:sup>
            <ns1:r>
              <w:rPr>
                <w:rFonts w:ascii="Times New Roman" w:hAnsi="Times New Roman" w:eastAsia="Times New Roman" w:cs="Times New Roman"/>
              </w:rPr>
              <ns1:t>0</ns1:t>
            </ns1:r>
          </ns1:sup>
        </ns1:sSubSup>
      </ns1: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δ</ns1:t>
                        </ns1:r>
                      </ns1:e>
                      <ns1:sub>
                        <ns1:r>
                          <w:rPr>
                            <w:rFonts w:ascii="Times New Roman" w:hAnsi="Times New Roman" w:eastAsia="Times New Roman" w:cs="Times New Roman"/>
                          </w:rPr>
                          <ns1:t>1</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r>
                      <w:rPr>
                        <w:rFonts w:ascii="Times New Roman" w:hAnsi="Times New Roman" w:eastAsia="Times New Roman" w:cs="Times New Roman"/>
                      </w:rPr>
                      <ns1:t>h</ns1:t>
                    </ns1:r>
                  </ns1:e>
                  <ns1:e>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(10)</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σ</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nary>
                      <ns1:naryPr>
                        <ns1:chr ns1:val="∑"/>
                        <ns1:limLoc ns1:val="undOvr"/>
                        <ns1:subHide ns1:val="off"/>
                        <ns1:supHide ns1:val="off"/>
                      </ns1:naryPr>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e>
                        <ns1:sSub>
                          <ns1:e>
                            <ns1:r>
                              <w:rPr>
                                <w:rFonts w:ascii="Times New Roman" w:hAnsi="Times New Roman" w:eastAsia="Times New Roman" w:cs="Times New Roman"/>
                              </w:rPr>
                              <ns1:t>c</ns1:t>
                            </ns1:r>
                          </ns1:e>
                          <ns1:sub>
                            <ns1:r>
                              <w:rPr>
                                <w:rFonts w:ascii="Times New Roman" w:hAnsi="Times New Roman" w:eastAsia="Times New Roman" w:cs="Times New Roman"/>
                              </w:rPr>
                              <ns1:t>j</ns1:t>
                            </ns1:r>
                          </ns1:sub>
                        </ns1:sSub>
                      </ns1:e>
                    </ns1:nary>
                    <ns1:sSub>
                      <ns1:e>
                        <ns1:r>
                          <w:rPr>
                            <w:rFonts w:ascii="Times New Roman" w:hAnsi="Times New Roman" w:eastAsia="Times New Roman" w:cs="Times New Roman"/>
                          </w:rPr>
                          <ns1:t>σ</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(11)</w:t>
            </w:r>
          </w:p>
        </w:tc>
      </w:tr>
    </w:tbl>
    <w:p>
      <w:pPr>
        <w:pStyle w:val="11"/>
        <w:jc w:val="left"/>
        <w:ind w:firstLine="420"/>
      </w:pPr>
      <w:r>
        <w:rPr>
          <w:rFonts w:ascii="Times New Roman" w:hAnsi="Times New Roman" w:eastAsia="Times New Roman" w:cs="Times New Roman"/>
          <w:sz w:val="20"/>
          <w:szCs w:val="20"/>
        </w:rPr>
        <w:t xml:space="preserve">The three margin relations above define the quantity scaled by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online QP. For the formal result,</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uniform operating-set bound and</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bound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oMath>
      <w:r>
        <w:rPr>
          <w:rFonts w:ascii="Times New Roman" w:hAnsi="Times New Roman" w:eastAsia="Times New Roman" w:cs="Times New Roman"/>
          <w:sz w:val="20"/>
          <w:szCs w:val="20"/>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states the additional dominance condition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max</ns1:t>
                    </ns1:r>
                  </ns1:sub>
                </ns1:sSub>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sSub>
                      <ns1:e>
                        <ns1:d>
                          <ns1:dPr>
                            <ns1:begChr ns1:val="∥"/>
                            <ns1:sepChr ns1:val=""/>
                            <ns1:endChr ns1:val="∥"/>
                            <ns1:grow/>
                          </ns1:dPr>
                          <ns1:e>
                            <ns1:f>
                              <ns1:fPr>
                                <ns1:type ns1:val="bar"/>
                              </ns1:fPr>
                              <ns1:num>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sSub>
                                      <ns1:e>
                                        <ns1:r>
                                          <w:rPr>
                                            <w:rFonts w:ascii="Times New Roman" w:hAnsi="Times New Roman" w:eastAsia="Times New Roman" w:cs="Times New Roman"/>
                                          </w:rPr>
                                          <ns1:t>g</ns1:t>
                                        </ns1:r>
                                      </ns1:e>
                                      <ns1:sub>
                                        <ns1:r>
                                          <w:rPr>
                                            <w:rFonts w:ascii="Times New Roman" w:hAnsi="Times New Roman" w:eastAsia="Times New Roman" w:cs="Times New Roman"/>
                                          </w:rPr>
                                          <ns1:t>v</ns1:t>
                                        </ns1:r>
                                      </ns1:sub>
                                    </ns1:sSub>
                                  </ns1:sub>
                                </ns1:sSub>
                                <ns1:sSubSup>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bSup>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num>
                              <ns1:den>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den>
                            </ns1:f>
                          </ns1:e>
                        </ns1:d>
                      </ns1:e>
                      <ns1:sub>
                        <ns1:r>
                          <w:rPr>
                            <w:rFonts w:ascii="Times New Roman" w:hAnsi="Times New Roman" w:eastAsia="Times New Roman" w:cs="Times New Roman"/>
                          </w:rPr>
                          <ns1:t>2</ns1:t>
                        </ns1:r>
                      </ns1:sub>
                    </ns1:sSub>
                  </ns1:e>
                </ns1:nary>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(12)</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g</ns1:t>
            </ns1:r>
          </ns1:e>
          <ns1:sub>
            <ns1: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0</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max</ns1:t>
            </ns1:r>
          </ns1:sub>
        </ns1:sSub>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sup</ns1:t>
            </ns1:r>
          </ns1:e>
          <ns1:sub>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ns1:t>
        </ns1:r>
        <ns1:rad>
          <ns1:radPr>
            <ns1:degHide ns1:val="on"/>
          </ns1:radPr>
          <ns1:deg/>
          <ns1:e>
            <ns1:r>
              <w:rPr>
                <w:rFonts w:ascii="Times New Roman" w:hAnsi="Times New Roman" w:eastAsia="Times New Roman" w:cs="Times New Roman"/>
              </w:rPr>
              <ns1:t>3</ns1:t>
            </ns1:r>
          </ns1:e>
        </ns1:rad>
      </ns1:oMath>
      <w:r>
        <w:rPr>
          <w:rFonts w:ascii="Times New Roman" w:hAnsi="Times New Roman" w:eastAsia="Times New Roman" w:cs="Times New Roman"/>
          <w:sz w:val="20"/>
          <w:szCs w:val="20"/>
        </w:rPr>
        <w:t xml:space="preserve">. The chain weights are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c</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nary>
          <ns1:naryPr>
            <ns1:chr ns1:val="∏"/>
            <ns1:limLoc ns1:val="undOvr"/>
            <ns1:subHide ns1:val="off"/>
            <ns1:supHide ns1:val="off"/>
          </ns1:naryPr>
          <ns1:sub>
            <ns1:r>
              <w:rPr>
                <w:rFonts w:ascii="Times New Roman" w:hAnsi="Times New Roman" w:eastAsia="Times New Roman" w:cs="Times New Roman"/>
              </w:rPr>
              <ns1:t>ℓ</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ℓ</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with the empty product equal to one; hence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c</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each implemented</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barrier. The resulting mean-corrected HOCBF constraint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rPr>
        <w:t xml:space="preserve">Assumption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(Operating set and relative degree).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state remains in a compact operating set</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X</ns1:t>
        </ns1:r>
      </ns1:oMath>
      <w:r>
        <w:rPr>
          <w:rFonts w:ascii="Times New Roman" w:hAnsi="Times New Roman" w:eastAsia="Times New Roman" w:cs="Times New Roman"/>
          <w:i/>
          <w:iCs/>
          <w:sz w:val="20"/>
          <w:szCs w:val="20"/>
        </w:rPr>
        <w:t xml:space="preserve">. The true and mean-corrected drifts, input vector fields, GP posterior functions, and barrier functions are locally Lipschitz and continuously differentiable to the order required by the HOCBF recursion. Relative degree is constant on</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The full-row QP has a unique solution whose feedback selection is locally Lipschitz on the certified set, so the closed-loop differential equation admits a unique Carathéodory solution.</w:t>
      </w:r>
    </w:p>
    <w:p>
      <w:pPr>
        <w:pStyle w:val="3"/>
        <w:jc w:val="left"/>
        <w:ind w:firstLine="420"/>
      </w:pPr>
      <w:r>
        <w:rPr>
          <w:rFonts w:ascii="Times New Roman" w:hAnsi="Times New Roman" w:eastAsia="Times New Roman" w:cs="Times New Roman"/>
          <w:b/>
          <w:bCs/>
          <w:sz w:val="20"/>
          <w:szCs w:val="20"/>
        </w:rPr>
        <w:t xml:space="preserve">Assumption 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(Drift-residual GP event).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input matrix is exact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i/>
          <w:iCs/>
          <w:sz w:val="20"/>
          <w:szCs w:val="20"/>
        </w:rPr>
        <w:t xml:space="preserve">). For the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3</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modeled residual outputs</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Eq. </w:t>
      </w:r>
      <w:r>
        <w:rPr>
          <w:rFonts w:ascii="Times New Roman" w:hAnsi="Times New Roman" w:eastAsia="Times New Roman" w:cs="Times New Roman"/>
          <w:i/>
          <w:iCs/>
          <w:sz w:val="20"/>
          <w:szCs w:val="20"/>
        </w:rPr>
        <w:t xml:space="preserve">(9)</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holds simultaneously over</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 probability at least</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i/>
          <w:iCs/>
          <w:sz w:val="20"/>
          <w:szCs w:val="20"/>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alone is not such a proof. Residuals in the unmodeled</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oMath>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oMath>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oMath>
      <w:r>
        <w:rPr>
          <w:rFonts w:ascii="Times New Roman" w:hAnsi="Times New Roman" w:eastAsia="Times New Roman" w:cs="Times New Roman"/>
          <w:i/>
          <w:iCs/>
          <w:sz w:val="20"/>
          <w:szCs w:val="20"/>
        </w:rPr>
        <w:t xml:space="preserve">, and</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rows are zero in the drift-only benchmark or are otherwise covered by Assumption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(Compositional residual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derivative constants used in Lemma S1 are finite on</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rPr>
        <w:t xml:space="preserve">(12)</w:t>
      </w:r>
      <w:r>
        <w:rPr>
          <w:rFonts w:ascii="Times New Roman" w:hAnsi="Times New Roman" w:eastAsia="Times New Roman" w:cs="Times New Roman"/>
          <w:i/>
          <w:iCs/>
          <w:sz w:val="20"/>
          <w:szCs w:val="20"/>
        </w:rPr>
        <w:t xml:space="preserve">, satisfy</w:t>
      </w:r>
      <w:r>
        <w:rPr>
          <w:rFonts w:ascii="Times New Roman" w:hAnsi="Times New Roman" w:eastAsia="Times New Roman" w:cs="Times New Roman"/>
          <w:i/>
          <w:iCs/>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 every active HOCBF row and every admissible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Theorem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(Conditional probabilistic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Let</w:t>
      </w:r>
      <w:r>
        <w:rPr>
          <w:rFonts w:ascii="Times New Roman" w:hAnsi="Times New Roman" w:eastAsia="Times New Roman" w:cs="Times New Roman"/>
          <w:i/>
          <w:iCs/>
          <w:sz w:val="20"/>
          <w:szCs w:val="20"/>
        </w:rPr>
        <w:t xml:space="preserve"> </w:t>
      </w:r>
      <ns1:oMath>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ψ</ns1:t>
            </ns1:r>
          </ns1:e>
          <ns1:sub>
            <ns1:r>
              <w:rPr>
                <w:rFonts w:ascii="Times New Roman" w:hAnsi="Times New Roman" w:eastAsia="Times New Roman" w:cs="Times New Roman"/>
              </w:rPr>
              <ns1:t>m</ns1:t>
            </ns1:r>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e</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m</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denote the induced top-level HOCBF residual after substituting the deviation-input model. If</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C</ns1:t>
        </ns1:r>
      </ns1:oMath>
      <w:r>
        <w:rPr>
          <w:rFonts w:ascii="Times New Roman" w:hAnsi="Times New Roman" w:eastAsia="Times New Roman" w:cs="Times New Roman"/>
          <w:i/>
          <w:iCs/>
          <w:sz w:val="20"/>
          <w:szCs w:val="20"/>
        </w:rPr>
        <w:t xml:space="preserve">, then, under Assumptions </w:t>
      </w:r>
      <w:r>
        <w:rPr>
          <w:rFonts w:ascii="Times New Roman" w:hAnsi="Times New Roman" w:eastAsia="Times New Roman" w:cs="Times New Roman"/>
          <w:i/>
          <w:iCs/>
          <w:sz w:val="20"/>
          <w:szCs w:val="20"/>
        </w:rPr>
        <w:t xml:space="preserve">1</w:t>
      </w:r>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4</w:t>
      </w:r>
      <w:r>
        <w:rPr>
          <w:rFonts w:ascii="Times New Roman" w:hAnsi="Times New Roman" w:eastAsia="Times New Roman" w:cs="Times New Roman"/>
          <w:i/>
          <w:iCs/>
          <w:sz w:val="20"/>
          <w:szCs w:val="20"/>
        </w:rPr>
        <w:t xml:space="preserve">, the QP in Eq.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renders the set</w:t>
      </w:r>
      <w:r>
        <w:rPr>
          <w:rFonts w:ascii="Times New Roman" w:hAnsi="Times New Roman" w:eastAsia="Times New Roman" w:cs="Times New Roman"/>
          <w:i/>
          <w:iCs/>
          <w:sz w:val="20"/>
          <w:szCs w:val="20"/>
        </w:rPr>
        <w:t xml:space="preserve"> </w:t>
      </w:r>
      <ns1:oMath>
        <ns1:r>
          <ns1:rPr>
            <ns1:scr ns1:val="script"/>
            <ns1:sty ns1:val="p"/>
          </ns1:rPr>
          <w:rPr>
            <w:rFonts w:ascii="Times New Roman" w:hAnsi="Times New Roman" w:eastAsia="Times New Roman" w:cs="Times New Roman"/>
          </w:rPr>
          <ns1:t>C</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in Eq. </w:t>
      </w:r>
      <w:r>
        <w:rPr>
          <w:rFonts w:ascii="Times New Roman" w:hAnsi="Times New Roman" w:eastAsia="Times New Roman" w:cs="Times New Roman"/>
          <w:i/>
          <w:iCs/>
          <w:sz w:val="20"/>
          <w:szCs w:val="20"/>
        </w:rPr>
        <w:t xml:space="preserve">(8)</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forward invariant with probability at least</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i/>
          <w:iCs/>
          <w:sz w:val="20"/>
          <w:szCs w:val="20"/>
        </w:rPr>
        <w:t xml:space="preserve">Proof.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 obtain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and then applies the HOCBF forward-invariance result to the tightened QP. The certificate is attached to</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independently valid residual and derivative bounds, and robust-QP feasibility.</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U</ns1:t>
        </ns1:r>
      </ns1:oMath>
      <w:r>
        <w:rPr>
          <w:rFonts w:ascii="Times New Roman" w:hAnsi="Times New Roman" w:eastAsia="Times New Roman" w:cs="Times New Roman"/>
          <w:sz w:val="20"/>
          <w:szCs w:val="20"/>
        </w:rPr>
        <w:t xml:space="preserve">. The online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therefore has a dual interpretation: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it applies the complete implemented margin and recovers the formal bound only when Assumptions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established; smaller values are commissioning settings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The QP enforces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i.e., the GP-mean-corrected HOCBF constraint without an additional robustness margin. The separate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notation denotes the no-GP ablation.</w:t>
      </w:r>
    </w:p>
    <w:p>
      <w:pPr>
        <w:numPr>
          <w:ilvl w:val="0"/>
          <w:numId w:val="1003"/>
        </w:numPr>
        <w:jc w:val="left"/>
      </w:pP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QP enforces the full implemented compositional margin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It recovers the worst-case certificate only when the residual event, derivative bounds,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full-row QP feasibility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all hold.</w:t>
      </w:r>
    </w:p>
    <w:p>
      <w:pPr>
        <w:numPr>
          <w:ilvl w:val="0"/>
          <w:numId w:val="1003"/>
        </w:numPr>
        <w:jc w:val="left"/>
      </w:pPr>
      <ns1:oMath>
        <ns1:r>
          <w:rPr>
            <w:rFonts w:ascii="Times New Roman" w:hAnsi="Times New Roman" w:eastAsia="Times New Roman" w:cs="Times New Roman"/>
          </w:rPr>
          <ns1:t>0</ns1:t>
        </ns1:r>
        <ns1:r>
          <ns1:rPr>
            <ns1:sty ns1:val="p"/>
          </ns1:rPr>
          <w:rPr>
            <w:rFonts w:ascii="Times New Roman" w:hAnsi="Times New Roman" w:eastAsia="Times New Roman" w:cs="Times New Roman"/>
          </w:rPr>
          <ns1:t>&lt;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rPr>
        <w:t xml:space="preserve">The conditional probabilistic certificate is available only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when every assumption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established; setting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alone is insufficient. Values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evaluates the full implemented-margin endpoint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f</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r</ns1:t>
            </ns1:r>
          </ns1:sub>
        </ns1:sSub>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4</ns1:t>
            </ns1:r>
          </ns1:sup>
        </ns1:sSup>
      </ns1: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This distinction explains why additive perturbations can use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tested regime: GP mean correction supplies the effective adjustment, while the floor-driven margin mainly adds QP conservatism.</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continuous-time, whereas the implementation uses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pressure_low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and only when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i</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0.01</ns1:t>
        </ns1:r>
      </ns1:oMath>
      <w:r>
        <w:rPr>
          <w:rFonts w:ascii="Times New Roman" w:hAnsi="Times New Roman" w:eastAsia="Times New Roman" w:cs="Times New Roman"/>
          <w:sz w:val="20"/>
          <w:szCs w:val="20"/>
        </w:rPr>
        <w:t xml:space="preserve">, the unscaled row right-hand side is below</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original six-row problem, so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rPr>
        <w:t xml:space="preserve">For field commissioning, approximately 14 days of 1 Hz data are divided into days 1–10 for the training candidate pool, day 11 as a 24 h isolation gap, and days 12–14 for validation. Five fixed load strata cover 180–660 MW; each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rPr>
        <w:t xml:space="preserve">Coverage monitoring combines the input z-score and 0.5th–99.5th training quantiles, the validation-set 99th percentile of posterior standard deviation, and the standardized one-step residual-rate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rPr>
        <w:t xml:space="preserve">The benchmark retains the five process states of the published boiler–turbine model and adds feedwater-flow and turbine-valve actuator states, giving the seven-state vector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The identified feedwater and valve time constants are 15 and 6 s; the fuel-transport time constant is 30 s. The normalized command deviation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physical scales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diag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40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enforced limits are pressure (13–24 MPa), separator enthalpy (2670–2830 kJ/kg), and generator active power around the dispatch target (</w:t>
      </w:r>
      <ns1:oMath>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oMath>
      <w:r>
        <w:rPr>
          <w:rFonts w:ascii="Times New Roman" w:hAnsi="Times New Roman" w:eastAsia="Times New Roman" w:cs="Times New Roman"/>
          <w:sz w:val="20"/>
          <w:szCs w:val="20"/>
        </w:rPr>
        <w:t xml:space="preserve"> MW). All six command-level barriers have relative degree two. The HOCBF uses the sample-matched surrogate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f</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g</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t</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the rollout applies its one-step forward-Euler map</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g</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Thus, the HOCBF rows and controller-instant transition use the same drift and command matrices.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structural scope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rollout plant and filter share the same fixed input matrix, so mismatch enters through drift residuals. The finite rollouts do not by themselves verify the theorem’s uniform residual and derivative-bound assumptions or inter-sample invariance.</w:t>
      </w:r>
    </w:p>
    <w:p>
      <w:pPr>
        <w:pStyle w:val="3"/>
        <w:jc w:val="left"/>
        <w:ind w:firstLine="420"/>
      </w:pPr>
      <w:r>
        <w:rPr>
          <w:rFonts w:ascii="Times New Roman" w:hAnsi="Times New Roman" w:eastAsia="Times New Roman" w:cs="Times New Roman"/>
          <w:sz w:val="20"/>
          <w:szCs w:val="20"/>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 is maintained. S5 and S6 also perturb the power/fuel-delay states. Scenario magnitudes are frozen before the confirmatory multi-seed sweep at the smallest screened scale that produces a nonzero 500 s unfiltered violation while retaining the equilibrium in the true HOCBF extended set.</w:t>
      </w:r>
    </w:p>
    <w:p>
      <w:pPr>
        <w:pStyle w:val="3"/>
        <w:jc w:val="left"/>
        <w:ind w:firstLine="420"/>
      </w:pPr>
      <w:r>
        <w:rPr>
          <w:rFonts w:ascii="Times New Roman" w:hAnsi="Times New Roman" w:eastAsia="Times New Roman" w:cs="Times New Roman"/>
          <w:sz w:val="20"/>
          <w:szCs w:val="20"/>
        </w:rPr>
        <w:t xml:space="preserve">To isolate the safety layer in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the fixed-proposal and HOCBF rows in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 the same seeded, bounded upstream deviation command and differ only in the downstream filter. Initial states satisfy both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h</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true-drift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ψ</ns1:t>
            </ns1:r>
          </ns1:e>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conditions; this oracle check is used only to define comparable evaluation starts and is unavailable to the controller. Each method-condition cell contains 50 independent 500-sample rollouts (25,000 controller samples). All GP variants use 500 scenario-specific training transitions, the common input/output vector</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Rejected QP candidates revert to the live upstream proposal and are counted as fallback events. A raw-margin numerical tolerance of</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used only for counting binary state-limit violations; unrounded minimum margins remain in the result files.</w:t>
      </w:r>
    </w:p>
    <w:p>
      <w:pPr>
        <w:pStyle w:val="3"/>
        <w:jc w:val="left"/>
        <w:ind w:firstLine="420"/>
      </w:pPr>
      <w:r>
        <w:rPr>
          <w:rFonts w:ascii="Times New Roman" w:hAnsi="Times New Roman" w:eastAsia="Times New Roman" w:cs="Times New Roman"/>
          <w:sz w:val="20"/>
          <w:szCs w:val="20"/>
        </w:rPr>
        <w:t xml:space="preserve">NMPC is evaluated under the same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dynamics as an optimization-based reference. It solves a warm-started SLSQP problem with horizon</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oMath>
      <w:r>
        <w:rPr>
          <w:rFonts w:ascii="Times New Roman" w:hAnsi="Times New Roman" w:eastAsia="Times New Roman" w:cs="Times New Roman"/>
          <w:sz w:val="20"/>
          <w:szCs w:val="20"/>
        </w:rPr>
        <w:t xml:space="preserve">, normalized deviation-input bounds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same six process constraints, the same sample-matched seven-state predictor, and additive disturbance correction. The output and input weights are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d</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d</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respectively; the disturbance-estimator gain is 0.5, and SLSQP uses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maxiter</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ftol</w:t>
      </w:r>
      <ns1:oMath>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4</ns1:t>
            </ns1:r>
          </ns1:sup>
        </ns1:sSup>
      </ns1:oMath>
      <w:r>
        <w:rPr>
          <w:rFonts w:ascii="Times New Roman" w:hAnsi="Times New Roman" w:eastAsia="Times New Roman" w:cs="Times New Roman"/>
          <w:sz w:val="20"/>
          <w:szCs w:val="20"/>
        </w:rPr>
        <w:t xml:space="preserve">. NMPC uses its own receding-horizon proposal and is reported as an optimization reference rather than as a same-proposal filter ablation.</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R</ns1:t>
                    </ns1:r>
                  </ns1:e>
                  <ns1:sub>
                    <ns1:r>
                      <ns1:rPr>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f>
                  <ns1:fPr>
                    <ns1:type ns1:val="bar"/>
                  </ns1:fPr>
                  <ns1:num>
                    <ns1:nary>
                      <ns1:naryPr>
                        <ns1:chr ns1:val="∑"/>
                        <ns1:limLoc ns1:val="undOvr"/>
                        <ns1:subHide ns1:val="off"/>
                        <ns1:supHide ns1:val="off"/>
                      </ns1:naryPr>
                      <ns1:sub>
                        <ns1: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d</ns1:t>
                            </ns1:r>
                          </ns1:sub>
                        </ns1:sSub>
                      </ns1:sup>
                      <ns1:e>
                        <ns1:nary>
                          <ns1:naryPr>
                            <ns1:chr ns1:val="∑"/>
                            <ns1:limLoc ns1:val="undOvr"/>
                            <ns1:subHide ns1:val="off"/>
                            <ns1:supHide ns1:val="off"/>
                          </ns1:naryPr>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up>
                          <ns1:e>
                            <ns1:nary>
                              <ns1:naryPr>
                                <ns1:chr ns1:val="∑"/>
                                <ns1:limLoc ns1:val="undOvr"/>
                                <ns1:subHide ns1:val="off"/>
                                <ns1:supHide ns1:val="off"/>
                              </ns1:naryPr>
                              <ns1:sub>
                                <ns1:r>
                                  <w:rPr>
                                    <w:rFonts w:ascii="Times New Roman" w:hAnsi="Times New Roman" w:eastAsia="Times New Roman" w:cs="Times New Roman"/>
                                  </w:rPr>
                                  <ns1:t>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up>
                              <ns1:e>
                                <ns1:r>
                                  <ns1:rPr>
                                    <ns1:sty ns1:val="b"/>
                                  </ns1:rPr>
                                  <w:rPr>
                                    <w:rFonts w:ascii="Times New Roman" w:hAnsi="Times New Roman" w:eastAsia="Times New Roman" w:cs="Times New Roman"/>
                                  </w:rPr>
                                  <ns1:t>1</ns1:t>
                                </ns1:r>
                              </ns1:e>
                            </ns1:nary>
                          </ns1:e>
                        </ns1:nary>
                      </ns1:e>
                    </ns1:nary>
                    <ns1:r>
                      <ns1:rPr>
                        <ns1:sty ns1:val="p"/>
                      </ns1:rPr>
                      <w:rPr>
                        <w:rFonts w:ascii="Times New Roman" w:hAnsi="Times New Roman" w:eastAsia="Times New Roman" w:cs="Times New Roman"/>
                      </w:rPr>
                      <ns1:t>{</ns1:t>
                    </ns1:r>
                    <ns1:limLow>
                      <ns1:e>
                        <ns1:r>
                          <ns1:rPr>
                            <ns1:sty ns1:val="p"/>
                          </ns1:rPr>
                          <w:rPr>
                            <w:rFonts w:ascii="Times New Roman" w:hAnsi="Times New Roman" w:eastAsia="Times New Roman" w:cs="Times New Roman"/>
                          </w:rPr>
                          <ns1:t>min</ns1:t>
                        </ns1:r>
                      </ns1:e>
                      <ns1:lim>
                        <ns1:r>
                          <w:rPr>
                            <w:rFonts w:ascii="Times New Roman" w:hAnsi="Times New Roman" w:eastAsia="Times New Roman" w:cs="Times New Roman"/>
                          </w:rPr>
                          <ns1:t>j</ns1:t>
                        </ns1:r>
                      </ns1:lim>
                    </ns1:limLow>
                    <ns1:sSub>
                      <ns1:e>
                        <ns1:r>
                          <w:rPr>
                            <w:rFonts w:ascii="Times New Roman" w:hAnsi="Times New Roman" w:eastAsia="Times New Roman" w:cs="Times New Roman"/>
                          </w:rPr>
                          <ns1:t>h</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num>
                  <ns1:den>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d</ns1:t>
                        </ns1:r>
                      </ns1:sub>
                    </ns1:sSub>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den>
                </ns1:f>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(13)</w:t>
            </w:r>
          </w:p>
        </w:tc>
      </w:tr>
    </w:tbl>
    <w:p>
      <w:pPr>
        <w:pStyle w:val="11"/>
        <w:jc w:val="left"/>
        <w:ind w:firstLine="420"/>
      </w:pPr>
      <w:r>
        <w:rPr>
          <w:rFonts w:ascii="Times New Roman" w:hAnsi="Times New Roman" w:eastAsia="Times New Roman" w:cs="Times New Roman"/>
          <w:sz w:val="20"/>
          <w:szCs w:val="20"/>
        </w:rPr>
        <w:t xml:space="preserve">where a sample is counted once if any enforced pressure, separator-enthalpy, or power barrier is below the stated numerical tolerance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η</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that controller sampling instant.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raw barrier units to avoid counting QP boundary-roundoff as physical violation; the later stress-test diagnostics use the tolerance stated in their result files or captions. This is not an episode-level probability. Counts in Fig.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refer only to its diagnostic rollout, whereas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aggregates controller samples across seeds and rollouts for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rPr>
        <w:t xml:space="preserve">Table 2. </w:t>
      </w:r>
      <w:r>
        <w:rPr>
          <w:rFonts w:ascii="Times New Roman" w:hAnsi="Times New Roman" w:eastAsia="Times New Roman" w:cs="Times New Roman"/>
          <w:sz w:val="20"/>
          <w:szCs w:val="20"/>
        </w:rPr>
        <w:t xml:space="preserve">Primary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sample-level constraint violation rate (%) at controller instants, computed by Eq. </w:t>
      </w:r>
      <w:r>
        <w:rPr>
          <w:rFonts w:ascii="Times New Roman" w:hAnsi="Times New Roman" w:eastAsia="Times New Roman" w:cs="Times New Roman"/>
          <w:sz w:val="20"/>
          <w:szCs w:val="20"/>
        </w:rPr>
        <w:t xml:space="preserve">(13)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a raw-margin numerical tolerance of</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Each cell aggregates 50 independent 500-sample rollouts (25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controller samples). The fixed-proposal, HOCBF, and RoCBF-SF rows share the same upstream command; NMPC uses its own receding-horizon proposal. The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is an implemented endpoint test, not the recommended commissioned setting.</w:t>
      </w:r>
    </w:p>
    <w:tbl>
      <w:tblPr>
        <w:tblStyle w:val="Table"/>
        <w:tblW w:type="dxa" w:w="8500"/>
        <w:tblLook w:firstRow="1" w:lastRow="0" w:firstColumn="0" w:lastColumn="0" w:noHBand="0" w:noVBand="0" w:val="0020"/>
        <w:tblCaption w:val="Table 2. Primary \Delta g=0 validation: sample-level constraint violation rate (%) at controller instants, computed by Eq. [eq:sample_violation_rate] with a raw-margin numerical tolerance of 10^{-2}. Each cell aggregates 50 independent 500-sample rollouts (25,000 controller samples). The fixed-proposal, HOCBF, and RoCBF-SF rows share the same upstream command; NMPC uses its own receding-horizon proposal. The \epsilon_\kappa=1 row is an implemented endpoint test, not the recommended commissioned settin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 (all</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NMPC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 tune-selected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oMath>
            <w:r>
              <w:rPr>
                <w:rFonts w:ascii="Times New Roman" w:hAnsi="Times New Roman" w:eastAsia="Times New Roman" w:cs="Times New Roman"/>
                <w:sz w:val="18"/>
                <w:szCs w:val="18"/>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64.01</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25.75</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39.19</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61.88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11.65</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58.06</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the drift-only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Across the six mismatch conditions, the fixed upstream proposal and HOCBF without GP correction each record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 violating samples among 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controller samples. The identical counts show that structurally correct command-level HOCBF rows alone do not compensate the imposed drift residuals in these rollouts. The S3 tune/test procedure selects the smallest passing value,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the resulting GP-mean RoCBF-SF row records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observed violations across the nominal case and all six mismatch conditions. Each condition uses its own frozen scenario-specific GP; the controller does not identify the true scenario online. NMPC also records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and no solver failure. The comparison therefore does not establish universal superiority over MPC; RoCBF-SF’s deployment distinction is its one-step downstream projection of an existing coordinated-controller command.</w:t>
      </w:r>
    </w:p>
    <w:p>
      <w:pPr>
        <w:pStyle w:val="3"/>
        <w:jc w:val="left"/>
        <w:ind w:firstLine="420"/>
      </w:pPr>
      <w:r>
        <w:rPr>
          <w:rFonts w:ascii="Times New Roman" w:hAnsi="Times New Roman" w:eastAsia="Times New Roman" w:cs="Times New Roman"/>
          <w:sz w:val="20"/>
          <w:szCs w:val="20"/>
        </w:rPr>
        <w:t xml:space="preserve">The full implemented-margin row shows why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commissioned rather than set mechanically to its largest value. It remains feasible in the nominal condition, but rejects 149</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800/150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QPs across the six mismatch conditions and consequently reproduces the upstream proposal’s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 violations. This outcome does not contradict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numerical endpoint does not satisfy the theorem’s full-row robust-QP-feasibility condition, and the finite benchmark does not independently establish its uniform residual event or derivative bounds.</w:t>
      </w:r>
    </w:p>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that feasibility mechanism explicit for S3. The experiment records every QP attempt, rejected candidate, fallback, intervention, and normalized residual. The tune-selected GP-mean row accepts every QP and records no state-limit violation; the full implemented-margin endpoint rejects all 25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QPs and reverts to the upstream proposal throughout.</w:t>
      </w:r>
    </w:p>
    <w:p>
      <w:pPr>
        <w:jc w:val="left"/>
        <w:spacing w:before="80" w:after="120"/>
        <w:keepLines/>
      </w:pPr>
      <w:r>
        <w:rPr>
          <w:rFonts w:ascii="Times New Roman" w:hAnsi="Times New Roman" w:eastAsia="Times New Roman" w:cs="Times New Roman"/>
          <w:sz w:val="20"/>
          <w:szCs w:val="20"/>
          <w:b/>
          <w:bCs/>
        </w:rPr>
        <w:t xml:space="preserve">Table 3. </w:t>
      </w:r>
      <w:r>
        <w:rPr>
          <w:rFonts w:ascii="Times New Roman" w:hAnsi="Times New Roman" w:eastAsia="Times New Roman" w:cs="Times New Roman"/>
          <w:sz w:val="20"/>
          <w:szCs w:val="20"/>
          <w:color w:val="000000"/>
          <w:b/>
          <w:bCs/>
          <w:i/>
          <w:iCs/>
        </w:rPr>
        <w:t xml:space="preserve">S3 solver and intervention diagnostics for the primary</w:t>
      </w:r>
      <w:r>
        <w:rPr>
          <w:rFonts w:ascii="Times New Roman" w:hAnsi="Times New Roman" w:eastAsia="Times New Roman" w:cs="Times New Roman"/>
          <w:sz w:val="20"/>
          <w:szCs w:val="20"/>
          <w:color w:val="000000"/>
          <w:b/>
          <w:bCs/>
          <w:i/>
          <w:iCs/>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b/>
          <w:bCs/>
          <w:i/>
          <w:iCs/>
        </w:rPr>
        <w:t xml:space="preserve"> </w:t>
      </w:r>
      <w:r>
        <w:rPr>
          <w:rFonts w:ascii="Times New Roman" w:hAnsi="Times New Roman" w:eastAsia="Times New Roman" w:cs="Times New Roman"/>
          <w:sz w:val="20"/>
          <w:szCs w:val="20"/>
          <w:color w:val="000000"/>
          <w:b/>
          <w:bCs/>
          <w:i/>
          <w:iCs/>
        </w:rPr>
        <w:t xml:space="preserve">validation. Each row contains 25</w:t>
      </w:r>
      <w:r>
        <w:rPr>
          <w:rFonts w:ascii="Times New Roman" w:hAnsi="Times New Roman" w:eastAsia="Times New Roman" w:cs="Times New Roman"/>
          <w:sz w:val="20"/>
          <w:szCs w:val="20"/>
          <w:color w:val="000000"/>
          <w:b/>
          <w:bCs/>
          <w:i/>
          <w:iCs/>
        </w:rPr>
        <w:t xml:space="preserve">,</w:t>
      </w:r>
      <w:r>
        <w:rPr>
          <w:rFonts w:ascii="Times New Roman" w:hAnsi="Times New Roman" w:eastAsia="Times New Roman" w:cs="Times New Roman"/>
          <w:sz w:val="20"/>
          <w:szCs w:val="20"/>
          <w:color w:val="000000"/>
          <w:b/>
          <w:bCs/>
          <w:i/>
          <w:iCs/>
        </w:rPr>
        <w:t xml:space="preserve">000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color w:val="000000"/>
          <w:b/>
          <w:bCs/>
          <w:i/>
          <w:iCs/>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1600"/>
        <w:gridCol w:w="1400"/>
        <w:gridCol w:w="1400"/>
        <w:gridCol w:w="130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S3 method</w:t>
            </w:r>
          </w:p>
        </w:tc>
        <w:tc>
          <w:tcPr>
            <w:tcW w:w="16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Violation</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rejected</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Fallback</w:t>
            </w:r>
          </w:p>
        </w:tc>
        <w:tc>
          <w:tcPr>
            <w:tcW w:w="13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intervention</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w:t>
            </w:r>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9798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(39.19%)</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41.32%</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w:t>
            </w:r>
          </w:p>
        </w:tc>
        <w:tc>
          <w:tcPr>
            <w:tcW w:w="16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9798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(39.19%)</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3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r>
    </w:tbl>
    <w:p>
      <w:pPr>
        <w:pStyle w:val="3"/>
        <w:jc w:val="left"/>
        <w:ind w:firstLine="420"/>
      </w:pPr>
      <w:r>
        <w:rPr>
          <w:rFonts w:ascii="Times New Roman" w:hAnsi="Times New Roman" w:eastAsia="Times New Roman" w:cs="Times New Roman"/>
          <w:sz w:val="20"/>
          <w:szCs w:val="20"/>
        </w:rPr>
        <w:t xml:space="preserve">The results identify a mechanism hierarchy within the tested benchmark: the actuator-augmented HOCBF supplies the required relative-degree-two command constraints, GP residual correction produces the observed mismatch compensation, and finite-sample calibration prevents unsupported uncertainty tightening from destroying QP feasibility.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403463"/>
            <ns2:effectExtent b="0" l="0" r="0" t="0"/>
            <ns2:docPr descr="" title="" id="49" name="Picture"/>
            <ns3:graphic>
              <ns3:graphicData uri="http://schemas.openxmlformats.org/drawingml/2006/picture">
                <ns4:pic>
                  <ns4:nvPicPr>
                    <ns4:cNvPr descr="figures/Figure_6_process_response.png" id="50" name="Picture"/>
                    <ns4:cNvPicPr>
                      <ns3:picLocks noChangeArrowheads="1" noChangeAspect="1"/>
                    </ns4:cNvPicPr>
                  </ns4:nvPicPr>
                  <ns4:blipFill>
                    <ns3:blip ns5:embed="rId48"/>
                    <ns3:stretch>
                      <ns3:fillRect/>
                    </ns3:stretch>
                  </ns4:blipFill>
                  <ns4:spPr bwMode="auto">
                    <ns3:xfrm>
                      <ns3:off x="0" y="0"/>
                      <ns3:ext cx="5006975" cy="34034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2. </w:t>
      </w:r>
      <w:r>
        <w:rPr>
          <w:rFonts w:ascii="Times New Roman" w:hAnsi="Times New Roman" w:eastAsia="Times New Roman" w:cs="Times New Roman"/>
          <w:sz w:val="20"/>
          <w:szCs w:val="20"/>
        </w:rPr>
        <w:t xml:space="preserve">Closed-loop pressure-bottleneck mechanism for representative seed 3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Separator-pressure lower-bound margin and normalized QP correction over the 45–135 s diagnostic interval. The shaded region marks violation of the lower pressure constraint.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 300 s event record, distinguishing accepted QP intervention, state-limit violation, and rejected-QP fallback.</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Full-rollout minimum pressure margin and sample-level violation rate; the symmetric-log horizontal scale resolves the tune-selected near-boundary trajectory while retaining the no-GP excursion. Lines in (a,b) are interpolated on a 0.1 s display grid only for visual continuity; open markers are the native 1 s controller samples, and all statistics use native samples and the</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counting tolerance defined in Eq. </w:t>
      </w:r>
      <w:r>
        <w:rPr>
          <w:rFonts w:ascii="Times New Roman" w:hAnsi="Times New Roman" w:eastAsia="Times New Roman" w:cs="Times New Roman"/>
          <w:sz w:val="20"/>
          <w:szCs w:val="20"/>
        </w:rPr>
        <w:t xml:space="preserve">(13)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shows the pressure bottleneck directly in a representative S3 rollout. HOCBF without GP correction produces 239/300 violating samples and a minimum lower-pressure margin 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-0.59553</w:t>
      </w:r>
      <w:r>
        <w:rPr>
          <w:rFonts w:ascii="Times New Roman" w:hAnsi="Times New Roman" w:eastAsia="Times New Roman" w:cs="Times New Roman"/>
          <w:sz w:val="20"/>
          <w:szCs w:val="20"/>
        </w:rPr>
        <w:t xml:space="preserve"> MPa. The full implemented-margin endpoint rejects every QP candidate in this rollout and therefore follows the fallback proposal, producing essentially the same pressure excursion. The tune-selected mean-only setting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accepts all 300 QPs, intervenes on 241 samples, and records 0/300 violations under the stated counting tolerance; its unrounded minimum pressure margin is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r>
          <w:rPr>
            <w:rFonts w:ascii="Times New Roman" w:hAnsi="Times New Roman" w:eastAsia="Times New Roman" w:cs="Times New Roman"/>
          </w:rPr>
          <ns1:t>4.94</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sup>
        </ns1:sSup>
      </ns1:oMath>
      <w:r>
        <w:rPr>
          <w:rFonts w:ascii="Times New Roman" w:hAnsi="Times New Roman" w:eastAsia="Times New Roman" w:cs="Times New Roman"/>
          <w:sz w:val="20"/>
          <w:szCs w:val="20"/>
        </w:rPr>
        <w:t xml:space="preserve"> MPa. The correction and event panels therefore attribute the change to accepted GP-mean-corrected QP intervention rather than to a different upstream proposal. This single-trajectory diagnostic illustrates the mechanism and is not used in place of the five-seed aggregate in Tables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53" name="Picture"/>
            <ns3:graphic>
              <ns3:graphicData uri="http://schemas.openxmlformats.org/drawingml/2006/picture">
                <ns4:pic>
                  <ns4:nvPicPr>
                    <ns4:cNvPr descr="figures/Figure_8_model_mismatch.png" id="54" name="Picture"/>
                    <ns4:cNvPicPr>
                      <ns3:picLocks noChangeArrowheads="1" noChangeAspect="1"/>
                    </ns4:cNvPicPr>
                  </ns4:nvPicPr>
                  <ns4:blipFill>
                    <ns3:blip ns5:embed="rId52"/>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3. </w:t>
      </w:r>
      <w:r>
        <w:rPr>
          <w:rFonts w:ascii="Times New Roman" w:hAnsi="Times New Roman" w:eastAsia="Times New Roman" w:cs="Times New Roman"/>
          <w:sz w:val="20"/>
          <w:szCs w:val="20"/>
        </w:rPr>
        <w:t xml:space="preserve">Direct model-mismatch diagnosis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Nominal and true one-step enthalpy margins from identical state–input pairs.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and enthalpy residual rates compared with the scenario-specific GP posterior mean and commissioning envelope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12.262</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500</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Posterior residual error normalized by that implemented envelope; values below one lie inside the plotted diagnostic envelope, not a separately established uniform GP confidence set.</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the model mismatch explicit. At the first controller instant, the same state and zero-deviation input give nominal and true next-step separator pressures of 16.546 and 15.582 MPa, respectively; the corresponding nominal and true lower-enthalpy margins are 78.628 and 64.628 kJ/kg. Along the diagnostic trajectory, the realized residual rates range from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-1.497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-1.050</w:t>
      </w:r>
      <w:r>
        <w:rPr>
          <w:rFonts w:ascii="Times New Roman" w:hAnsi="Times New Roman" w:eastAsia="Times New Roman" w:cs="Times New Roman"/>
          <w:sz w:val="20"/>
          <w:szCs w:val="20"/>
        </w:rPr>
        <w:t xml:space="preserve"> MPa/s for pressure and from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-14.777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-14.000</w:t>
      </w:r>
      <w:r>
        <w:rPr>
          <w:rFonts w:ascii="Times New Roman" w:hAnsi="Times New Roman" w:eastAsia="Times New Roman" w:cs="Times New Roman"/>
          <w:sz w:val="20"/>
          <w:szCs w:val="20"/>
        </w:rPr>
        <w:t xml:space="preserve"> kJ kg</w:t>
      </w:r>
      <ns1:oMath>
        <ns1:sSup>
          <ns1:e>
            <ns1:r>
              <w:rPr>
                <w:rFonts w:ascii="Times New Roman" w:hAnsi="Times New Roman" w:eastAsia="Times New Roman" w:cs="Times New Roman"/>
              </w:rPr>
              <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p>
      </ns1:oMath>
      <w:r>
        <w:rPr>
          <w:rFonts w:ascii="Times New Roman" w:hAnsi="Times New Roman" w:eastAsia="Times New Roman" w:cs="Times New Roman"/>
          <w:sz w:val="20"/>
          <w:szCs w:val="20"/>
        </w:rPr>
        <w:t xml:space="preserve"> s</w:t>
      </w:r>
      <ns1:oMath>
        <ns1:sSup>
          <ns1:e>
            <ns1:r>
              <w:rPr>
                <w:rFonts w:ascii="Times New Roman" w:hAnsi="Times New Roman" w:eastAsia="Times New Roman" w:cs="Times New Roman"/>
              </w:rPr>
              <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enthalpy. The GP posterior mean tracks this structured discrepancy, and the normalized posterior error remains below 0.003 inside the implemented commissioning envelope. The filter therefore corrects the learned drift residual before applying any nonzero robustness multiplier.</w:t>
      </w:r>
    </w:p>
    <w:p>
      <w:pPr>
        <w:jc w:val="center"/>
        <w:keepNext/>
      </w:pPr>
      <w:r>
        <w:rPr>
          <w:rFonts w:ascii="Times New Roman" w:hAnsi="Times New Roman" w:eastAsia="Times New Roman" w:cs="Times New Roman"/>
          <w:sz w:val="20"/>
          <w:szCs w:val="20"/>
        </w:rPr>
        <w:drawing>
          <ns2:inline>
            <ns2:extent cx="5006975" cy="1973467"/>
            <ns2:effectExtent b="0" l="0" r="0" t="0"/>
            <ns2:docPr descr="" title="" id="57" name="Picture"/>
            <ns3:graphic>
              <ns3:graphicData uri="http://schemas.openxmlformats.org/drawingml/2006/picture">
                <ns4:pic>
                  <ns4:nvPicPr>
                    <ns4:cNvPr descr="figures/Figure_2.png" id="58" name="Picture"/>
                    <ns4:cNvPicPr>
                      <ns3:picLocks noChangeArrowheads="1" noChangeAspect="1"/>
                    </ns4:cNvPicPr>
                  </ns4:nvPicPr>
                  <ns4:blipFill>
                    <ns3:blip ns5:embed="rId56"/>
                    <ns3:stretch>
                      <ns3:fillRect/>
                    </ns3:stretch>
                  </ns4:blipFill>
                  <ns4:spPr bwMode="auto">
                    <ns3:xfrm>
                      <ns3:off x="0" y="0"/>
                      <ns3:ext cx="5006975" cy="1973467"/>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4. </w:t>
      </w:r>
      <w:r>
        <w:rPr>
          <w:rFonts w:ascii="Times New Roman" w:hAnsi="Times New Roman" w:eastAsia="Times New Roman" w:cs="Times New Roman"/>
          <w:sz w:val="20"/>
          <w:szCs w:val="20"/>
        </w:rPr>
        <w:t xml:space="preserve">Tune/test calibration of</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Pooled and maximum-per-seed violation and QP-rejection rates for tune seeds 0–2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Results for held-out seeds 3–4 after fixing the selected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setting; no retuning used the 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holdout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calibration from confirmation. On tune seeds 0–2,</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0.01, 0.02, and 0.05 each give 0/15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observed violations and no rejected QP; the predeclared smallest-passing rule therefore selects the mean-only endpoint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no violation is observed but 13/15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QPs are rejected. Values of 0.2 and above fail the feasibility gate, and the full endpoint rejects all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tune-set QPs. After fixing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held-out seeds 3–4 give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observed violations and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rejected QPs without retuning. The zero-count Wilson upper value reported in the Supplemental Material is only a descriptive Bernoulli reference because adjacent controller samples are serially correlated. The result is a finite-sample selection outcome, not proof that the violation probability is zero.</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62" name="Picture"/>
            <ns3:graphic>
              <ns3:graphicData uri="http://schemas.openxmlformats.org/drawingml/2006/picture">
                <ns4:pic>
                  <ns4:nvPicPr>
                    <ns4:cNvPr descr="figures/Figure_GP_data_sensitivity.png" id="63" name="Picture"/>
                    <ns4:cNvPicPr>
                      <ns3:picLocks noChangeArrowheads="1" noChangeAspect="1"/>
                    </ns4:cNvPicPr>
                  </ns4:nvPicPr>
                  <ns4:blipFill>
                    <ns3:blip ns5:embed="rId61"/>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5. </w:t>
      </w:r>
      <w:r>
        <w:rPr>
          <w:rFonts w:ascii="Times New Roman" w:hAnsi="Times New Roman" w:eastAsia="Times New Roman" w:cs="Times New Roman"/>
          <w:sz w:val="20"/>
          <w:szCs w:val="20"/>
        </w:rPr>
        <w:t xml:space="preserve">Controlled GP training-data sensitivity 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GP commissioning gate rather than treating every fitted model as deployable. Across 100, 250, and 500 clean training transitions, held-out NRMSE decreases from 0.00090 to 0.00046, empirical interval coverage is 100%, and the tune-selected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setting gives 0/2500 violations and no QP rejection at each size. Synthetic target corruption exposes a dictionary-size dependence: the 100- and 250-point fits produce 5.76–20.24% violation and 4.04–8.60% QP rejection, whereas the 500-point fits retain 0/2500 observed violations and no QP rejection at both tested corruption levels, with 99.8–99.9% coverage. The result supports quantity, coverage, and closed-loop feasibility as joint pre-enable gates; it does not estimate plant-data corruption or establish universal robustness to bad labels.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rPr>
        <w:t>4.4 Real-Time Computation</w:t>
      </w:r>
    </w:p>
    <w:p>
      <w:pPr>
        <w:pStyle w:val="11"/>
        <w:jc w:val="left"/>
        <w:ind w:firstLine="420"/>
      </w:pPr>
      <w:r>
        <w:rPr>
          <w:rFonts w:ascii="Times New Roman" w:hAnsi="Times New Roman" w:eastAsia="Times New Roman" w:cs="Times New Roman"/>
          <w:sz w:val="20"/>
          <w:szCs w:val="20"/>
        </w:rPr>
        <w:t xml:space="preserve">The deployment configuration specifies an AMD EPYC Embedded 4565P processor, 64 GB (2</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4.5 Measured Plant Evidence: Envelope, Matched Windows, and Controller Logs</w:t>
      </w:r>
    </w:p>
    <w:p>
      <w:pPr>
        <w:pStyle w:val="11"/>
        <w:jc w:val="left"/>
        <w:ind w:firstLine="420"/>
      </w:pPr>
      <w:r>
        <w:rPr>
          <w:rFonts w:ascii="Times New Roman" w:hAnsi="Times New Roman" w:eastAsia="Times New Roman" w:cs="Times New Roman"/>
          <w:sz w:val="20"/>
          <w:szCs w:val="20"/>
        </w:rPr>
        <w:t xml:space="preserve">The simulation benchmark establishes the closed-loop mechanism: GP residual correction closes most of the model mismatch,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 a bounded historian snapshot from the 660 MW unit as an operating-envelope check. The grey envelope uses an approximately 24 h loaded operating window from 1 July 2026 02:33 to 2 July 2026 02:28 local time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288</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68" name="Picture"/>
            <ns3:graphic>
              <ns3:graphicData uri="http://schemas.openxmlformats.org/drawingml/2006/picture">
                <ns4:pic>
                  <ns4:nvPicPr>
                    <ns4:cNvPr descr="figures/Figure_9_production_historian.png" id="69" name="Picture"/>
                    <ns4:cNvPicPr>
                      <ns3:picLocks noChangeArrowheads="1" noChangeAspect="1"/>
                    </ns4:cNvPicPr>
                  </ns4:nvPicPr>
                  <ns4:blipFill>
                    <ns3:blip ns5:embed="rId67"/>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6. </w:t>
      </w:r>
      <w:r>
        <w:rPr>
          <w:rFonts w:ascii="Times New Roman" w:hAnsi="Times New Roman" w:eastAsia="Times New Roman" w:cs="Times New Roman"/>
          <w:sz w:val="20"/>
          <w:szCs w:val="20"/>
        </w:rPr>
        <w:t xml:space="preserve">Plant-historian operating-envelope check from the 660 MW ultra-supercritical unit.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low-to-mid-load historian context windows (MW01–MW03), whose main-steam-pressure ranges are 13.21–19.15 MPa. They do not supply controller-internal QP fields. Load was strongly correlated with pressure (</w:t>
      </w:r>
      <ns1:oMath>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0.986</ns1:t>
        </ns1:r>
      </ns1:oMath>
      <w:r>
        <w:rPr>
          <w:rFonts w:ascii="Times New Roman" w:hAnsi="Times New Roman" w:eastAsia="Times New Roman" w:cs="Times New Roman"/>
          <w:sz w:val="20"/>
          <w:szCs w:val="20"/>
        </w:rPr>
        <w:t xml:space="preserve">) and fuel flow (</w:t>
      </w:r>
      <ns1:oMath>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0.980</ns1:t>
        </ns1:r>
      </ns1:oMath>
      <w:r>
        <w:rPr>
          <w:rFonts w:ascii="Times New Roman" w:hAnsi="Times New Roman" w:eastAsia="Times New Roman" w:cs="Times New Roman"/>
          <w:sz w:val="20"/>
          <w:szCs w:val="20"/>
        </w:rPr>
        <w:t xml:space="preserve">), confirming pressure–combustion coupling during load following. The MW04–MW06 controller exports analyzed below provide the separate execution evidence at 480.7–629.7 MW (72.8–95.4% of nameplate power). Taken together, the two record types span measured operation from 195.7 to 629.7 MW (29.7–95.4% of nameplate), but they do not constitute continuous controller-internal performance validation at every load through 660 MW.</w:t>
      </w:r>
    </w:p>
    <w:p>
      <w:pPr>
        <w:pStyle w:val="3"/>
        <w:jc w:val="left"/>
        <w:ind w:firstLine="420"/>
      </w:pPr>
      <w:r>
        <w:rPr>
          <w:rFonts w:ascii="Times New Roman" w:hAnsi="Times New Roman" w:eastAsia="Times New Roman" w:cs="Times New Roman"/>
          <w:sz w:val="20"/>
          <w:szCs w:val="20"/>
        </w:rPr>
        <w:t xml:space="preserve">The unit chronology permits a load-matched commissioning comparison. The 660 MW unit used traditional PID before 21 May 2026, was shut down from 21 May to 24 June 2026, and restarted with the proposed RoCBF-SF-based strategy after 24 June 2026. The outage included extensive routine plant maintenance in addition to integration of the proposed algorithm. We screened 300 s historian records from 2024–2025 and 25 June–5 July 2026. Candidate two-hour windows contain 24 consecutive samples, advance every 30 min, and retain only load in 195–700 MW with finite pressure, setpoint, and fuel-flow values. A global linear-assignment step forms one-to-one pairs without replacement using mean-load difference, 24-point load-profile RMSE, load-range difference, and fuel/load difference. Calipers are 10, 30, and 40 MW and 0.08, respectively. This protocol yields 512 pairs from 14,675 pre-retrofit and 517 post-retrofit candidates. Median mean-load difference is 1.32 MW and median profile RMSE is 15.37 MW. Cohort median pressure-residual standard deviation decreases from 0.523 to 0.502 MPa (3.93%), whereas median absolute-error p95 is essentially unchanged (1.082 versus 1.085 MPa). Because the windows overlap, these cohort quantities and the post-day cluster bootstrap reported in the Supplemental Material are descriptive rather than independent-sample inference. Figure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separate native-5 s load-matched diagnostic, not a selected member of the 300 s cohort; its source timestamps and metric JSON are preserved independently in the evidence package. Concurrent routine maintenance also means that the response comparison is observational evidence associated with the documented retrofit, not a standalone causal estimate.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72" name="Picture"/>
            <ns3:graphic>
              <ns3:graphicData uri="http://schemas.openxmlformats.org/drawingml/2006/picture">
                <ns4:pic>
                  <ns4:nvPicPr>
                    <ns4:cNvPr descr="figures/Figure_10_production_retrofit_evidence.png" id="73" name="Picture"/>
                    <ns4:cNvPicPr>
                      <ns3:picLocks noChangeArrowheads="1" noChangeAspect="1"/>
                    </ns4:cNvPicPr>
                  </ns4:nvPicPr>
                  <ns4:blipFill>
                    <ns3:blip ns5:embed="rId71"/>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7. </w:t>
      </w:r>
      <w:r>
        <w:rPr>
          <w:rFonts w:ascii="Times New Roman" w:hAnsi="Times New Roman" w:eastAsia="Times New Roman" w:cs="Times New Roman"/>
          <w:sz w:val="20"/>
          <w:szCs w:val="20"/>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active-power trajectories used for matching; the mean-load difference is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-0.72</w:t>
      </w:r>
      <w:r>
        <w:rPr>
          <w:rFonts w:ascii="Times New Roman" w:hAnsi="Times New Roman" w:eastAsia="Times New Roman" w:cs="Times New Roman"/>
          <w:sz w:val="20"/>
          <w:szCs w:val="20"/>
        </w:rPr>
        <w:t xml:space="preserve"> MW and the load-profile RMSE is 10.7 MW.</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Main-steam pressure and the sliding-pressure setpoint.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tracking error,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t</ns1:t>
            </ns1:r>
          </ns1:sub>
        </ns1:sSub>
      </ns1:oMath>
      <w:r>
        <w:rPr>
          <w:rFonts w:ascii="Times New Roman" w:hAnsi="Times New Roman" w:eastAsia="Times New Roman" w:cs="Times New Roman"/>
          <w:sz w:val="20"/>
          <w:szCs w:val="20"/>
        </w:rPr>
        <w:t xml:space="preserve">; the sample-level standard deviation decreases from 0.375 to 0.156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Fuel/load distribution for the combustion-side operating context; boxes show median, IQR, and 1.5</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76" name="Picture"/>
            <ns3:graphic>
              <ns3:graphicData uri="http://schemas.openxmlformats.org/drawingml/2006/picture">
                <ns4:pic>
                  <ns4:nvPicPr>
                    <ns4:cNvPr descr="figures/Figure_11_controller_log_validation.png" id="77" name="Picture"/>
                    <ns4:cNvPicPr>
                      <ns3:picLocks noChangeArrowheads="1" noChangeAspect="1"/>
                    </ns4:cNvPicPr>
                  </ns4:nvPicPr>
                  <ns4:blipFill>
                    <ns3:blip ns5:embed="rId75"/>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8. </w:t>
      </w:r>
      <w:r>
        <w:rPr>
          <w:rFonts w:ascii="Times New Roman" w:hAnsi="Times New Roman" w:eastAsia="Times New Roman" w:cs="Times New Roman"/>
          <w:sz w:val="20"/>
          <w:szCs w:val="20"/>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 power; the shaded band denotes 70–100% of the 660 MW nameplate rating.</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MW power band. Cell shading is normalized within each column; annotations retain physical units.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43</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optimal_recovered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records. In those 43 records, the original pressure-low HOCBF row has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sSub>
          <ns1:e>
            <ns1:r>
              <w:rPr>
                <w:rFonts w:ascii="Times New Roman" w:hAnsi="Times New Roman" w:eastAsia="Times New Roman" w:cs="Times New Roman"/>
              </w:rPr>
              <ns1:t>G</ns1:t>
            </ns1:r>
          </ns1:e>
          <ns1:sub>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0.03266</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0.00561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while the directly measured margin remains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2.21654</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2.36306</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p>
    <w:p>
      <w:pPr>
        <w:jc w:val="left"/>
        <w:spacing w:before="80" w:after="120"/>
        <w:keepLines/>
      </w:pPr>
      <w:r>
        <w:rPr>
          <w:rFonts w:ascii="Times New Roman" w:hAnsi="Times New Roman" w:eastAsia="Times New Roman" w:cs="Times New Roman"/>
          <w:sz w:val="20"/>
          <w:szCs w:val="20"/>
          <w:b/>
          <w:bCs/>
        </w:rPr>
        <w:t xml:space="preserve">Table 4. </w:t>
      </w:r>
      <w:r>
        <w:rPr>
          <w:rFonts w:ascii="Times New Roman" w:hAnsi="Times New Roman" w:eastAsia="Times New Roman" w:cs="Times New Roman"/>
          <w:sz w:val="20"/>
          <w:szCs w:val="20"/>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i</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S</ns1:t>
        </ns1:r>
        <ns1:r>
          <w:rPr>
            <w:rFonts w:ascii="Times New Roman" w:hAnsi="Times New Roman" w:eastAsia="Times New Roman" w:cs="Times New Roman"/>
          </w:rPr>
          <ns1:t>T</ns1:t>
        </ns1:r>
        <ns1:r>
          <ns1:rPr>
            <ns1:sty ns1:val="p"/>
          </ns1:rPr>
          <w:rPr>
            <w:rFonts w:ascii="Times New Roman" w:hAnsi="Times New Roman" w:eastAsia="Times New Roman" w:cs="Times New Roman"/>
          </w:rPr>
          <ns1:t>_</ns1:t>
        </ns1:r>
        <ns1:r>
          <w:rPr>
            <w:rFonts w:ascii="Times New Roman" w:hAnsi="Times New Roman" w:eastAsia="Times New Roman" w:cs="Times New Roman"/>
          </w:rPr>
          <ns1:t>H</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b>
        </ns1:sSub>
      </ns1: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PST_HI</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main-steam-pressure replay bound rather than a separator-pressure limit.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“None”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status column denotes no reduced-QP recovery and no saturation flag.</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in the status column denotes no reduced-QP recovery and no saturation fla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800"/>
        <w:gridCol w:w="1350"/>
        <w:gridCol w:w="1100"/>
        <w:gridCol w:w="950"/>
        <w:gridCol w:w="950"/>
        <w:gridCol w:w="950"/>
        <w:gridCol w:w="1450"/>
        <w:gridCol w:w="950"/>
      </w:tblGrid>
      <w:tr>
        <w:trPr>
          <w:tblHeader w:val="on"/>
          <w:cantSplit/>
        </w:trPr>
        <w:tc>
          <w:tcPr>
            <w:tcW w:w="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3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Local time</w:t>
            </w:r>
          </w:p>
        </w:tc>
        <w:tc>
          <w:tcPr>
            <w:tcW w:w="11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Load (MW)</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i</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h</ns1:t>
              </ns1:r>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margin (kJ/kg)</w:t>
            </w:r>
          </w:p>
        </w:tc>
        <w:tc>
          <w:tcPr>
            <w:tcW w:w="14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QP/recovery status</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QP/task p95 (ms)</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MW04</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29 Jun 2026 19:00–20:59:55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563.0–621.2</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2.217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2.173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62.284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1397 optimal; 43 recovered; 1 fuel-sat.</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4.195 / 26.238</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MW05</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30 Jun 2026 14:00–15:59:55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547.9–629.7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3.438</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1.483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20.354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1440 optimal; none</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4.074 / 26.139</w:t>
            </w:r>
          </w:p>
        </w:tc>
      </w:tr>
      <w:tr>
        <w:trPr>
          <w:cantSplit/>
        </w:trPr>
        <w:tc>
          <w:tcPr>
            <w:tcW w:w="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MW06</w:t>
            </w:r>
          </w:p>
        </w:tc>
        <w:tc>
          <w:tcPr>
            <w:tcW w:w="13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26 Jun 2026 23:00–00:59:55</w:t>
            </w:r>
          </w:p>
        </w:tc>
        <w:tc>
          <w:tcPr>
            <w:tcW w:w="11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480.7–619.3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2.705</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0.463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0.359</w:t>
            </w:r>
          </w:p>
        </w:tc>
        <w:tc>
          <w:tcPr>
            <w:tcW w:w="14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1440 optimal; none</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4.062 / 26.159</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rPr>
        <w:t>4.6 Stage-Gated Commissioning Protocol</w:t>
      </w:r>
    </w:p>
    <w:p>
      <w:pPr>
        <w:pStyle w:val="11"/>
        <w:jc w:val="left"/>
        <w:ind w:firstLine="420"/>
      </w:pPr>
      <w:r>
        <w:rPr>
          <w:rFonts w:ascii="Times New Roman" w:hAnsi="Times New Roman" w:eastAsia="Times New Roman" w:cs="Times New Roman"/>
          <w:sz w:val="20"/>
          <w:szCs w:val="20"/>
        </w:rPr>
        <w:t xml:space="preserve">RoCBF-SF is intended as 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commissioning-calibrated safety filter</w:t>
      </w:r>
      <w:r>
        <w:rPr>
          <w:rFonts w:ascii="Times New Roman" w:hAnsi="Times New Roman" w:eastAsia="Times New Roman" w:cs="Times New Roman"/>
          <w:sz w:val="20"/>
          <w:szCs w:val="20"/>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rPr>
        <w:t xml:space="preserve">Table 5. </w:t>
      </w:r>
      <w:r>
        <w:rPr>
          <w:rFonts w:ascii="Times New Roman" w:hAnsi="Times New Roman" w:eastAsia="Times New Roman" w:cs="Times New Roman"/>
          <w:sz w:val="20"/>
          <w:szCs w:val="20"/>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200"/>
        <w:gridCol w:w="1700"/>
        <w:gridCol w:w="3400"/>
        <w:gridCol w:w="2200"/>
      </w:tblGrid>
      <w:tr>
        <w:trPr>
          <w:tblHeader w:val="on"/>
          <w:cantSplit/>
        </w:trPr>
        <w:tc>
          <w:tcPr>
            <w:tcW w:w="1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Gate</w:t>
            </w:r>
          </w:p>
        </w:tc>
        <w:tc>
          <w:tcPr>
            <w:tcW w:w="34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Minimum evidence</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Decision rule</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Residual and margin calibration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Use a field-calibrated frozen GP whose training domain covers the commissioned operating envelope; select the smallest</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that meets the local safety gate without QP infeasibility.</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Pre-enable validation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Time-isolated replay, protection-limit review, alarm/fallback tests, and coverage across the five fixed load strata</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Enable online authority only after GP, QP, fallback, and alarm logic pass supervised tests.</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Execution logging</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18"/>
                <w:szCs w:val="18"/>
              </w:rPr>
              <w:t xml:space="preserve">, fallback, saturation, and solve time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Treat historian traces as plant-response diagnostics; use controller logs such as Fig. </w:t>
            </w:r>
            <w:r>
              <w:rPr>
                <w:rFonts w:ascii="Times New Roman" w:hAnsi="Times New Roman" w:eastAsia="Times New Roman" w:cs="Times New Roman"/>
                <w:sz w:val="18"/>
                <w:szCs w:val="18"/>
              </w:rPr>
              <w:t xml:space="preserve">8</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support safety-filter execution.</w:t>
            </w:r>
          </w:p>
        </w:tc>
      </w:tr>
      <w:tr>
        <w:trPr>
          <w:cantSplit/>
        </w:trPr>
        <w:tc>
          <w:tcPr>
            <w:tcW w:w="1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and boundary monitoring</w:t>
            </w:r>
          </w:p>
        </w:tc>
        <w:tc>
          <w:tcPr>
            <w:tcW w:w="34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rPr>
        <w:t xml:space="preserve">The seven-state, drift-only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benchmark separates barrier structure, residual learning, and margin selection. Across six mismatch conditions, HOCBF without GP correction records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violating samples. The predeclared calibration rule selects the mean-only endpoint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this RoCBF-SF setting and the NMPC reference each record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observed violations in the primary sweep, and the fixed filter setting records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and no QP rejection on held-out seeds. The equality with NMPC precludes a claim of universal safety superiority; the practical distinction is the filter’s compatibility with an existing coordinated controller. Conversely, the implemented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endpoint loses feasibility in nearly all mismatch-scenario QPs under the tested actuator limits. The calibrated settings remain finite-sample operating points. The formal forward-invariance result requires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an independently valid simultaneous residual event and compositional derivative bound,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full-row robust-QP feasibility; the implemented multiplier does not establish those conditions by itself.</w:t>
      </w:r>
    </w:p>
    <w:p>
      <w:pPr>
        <w:pStyle w:val="3"/>
        <w:jc w:val="left"/>
        <w:ind w:firstLine="420"/>
      </w:pPr>
      <w:r>
        <w:rPr>
          <w:rFonts w:ascii="Times New Roman" w:hAnsi="Times New Roman" w:eastAsia="Times New Roman" w:cs="Times New Roman"/>
          <w:sz w:val="20"/>
          <w:szCs w:val="20"/>
        </w:rPr>
        <w:t xml:space="preserve">Plant historian and controller records provide complementary measured-operation evidence. The 512-pair historian cohort shows only a small median pressure-dispersion change with a broad post-day cluster-bootstrap interval, whereas the separate native-5 s pair shows a larger response change under comparable load movement. Both are observational because routine maintenance accompanied the retrofit.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excluded from the full-row certificate claim.</w:t>
      </w:r>
    </w:p>
    <w:p>
      <w:pPr>
        <w:pStyle w:val="3"/>
        <w:jc w:val="left"/>
        <w:ind w:firstLine="420"/>
      </w:pPr>
      <w:r>
        <w:rPr>
          <w:rFonts w:ascii="Times New Roman" w:hAnsi="Times New Roman" w:eastAsia="Times New Roman" w:cs="Times New Roman"/>
          <w:sz w:val="20"/>
          <w:szCs w:val="20"/>
        </w:rPr>
        <w:t xml:space="preserve">Future work should extend time-separated commissioning coverage, evaluate actuator-gain uncertainty beyond the current</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rPr>
        <w:t xml:space="preserve">Statements and Declarations</w:t>
      </w:r>
    </w:p>
    <w:p>
      <w:pPr>
        <w:jc w:val="left"/>
        <w:spacing w:before="0" w:after="0"/>
      </w:pPr>
      <w:r>
        <w:rPr>
          <w:rFonts w:ascii="Times New Roman" w:hAnsi="Times New Roman" w:eastAsia="Times New Roman" w:cs="Times New Roman"/>
          <w:sz w:val="20"/>
          <w:szCs w:val="20"/>
          <w:color w:val="000000"/>
          <w:b/>
          <w:bCs/>
          <w:i/>
          <w:iCs/>
        </w:rPr>
        <w:t xml:space="preserve">Ethical considerations</w:t>
      </w:r>
    </w:p>
    <w:p>
      <w:pPr>
        <w:pStyle w:val="11"/>
        <w:jc w:val="left"/>
        <w:ind w:firstLine="420"/>
      </w:pPr>
      <w:r>
        <w:rPr>
          <w:rFonts w:ascii="Times New Roman" w:hAnsi="Times New Roman" w:eastAsia="Times New Roman" w:cs="Times New Roman"/>
          <w:sz w:val="20"/>
          <w:szCs w:val="20"/>
        </w:rPr>
        <w:t xml:space="preserve">Not applicable. This study did not involve human participants, human data, human tissue, or animal experiments.</w:t>
      </w:r>
    </w:p>
    <w:p>
      <w:pPr>
        <w:jc w:val="left"/>
        <w:spacing w:before="0" w:after="0"/>
      </w:pPr>
      <w:r>
        <w:rPr>
          <w:rFonts w:ascii="Times New Roman" w:hAnsi="Times New Roman" w:eastAsia="Times New Roman" w:cs="Times New Roman"/>
          <w:sz w:val="20"/>
          <w:szCs w:val="20"/>
          <w:color w:val="000000"/>
          <w:b/>
          <w:bCs/>
          <w:i/>
          <w:iCs/>
        </w:rPr>
        <w:t xml:space="preserve">Consent to participate</w:t>
      </w:r>
    </w:p>
    <w:p>
      <w:pPr>
        <w:pStyle w:val="11"/>
        <w:jc w:val="left"/>
        <w:ind w:firstLine="420"/>
      </w:pPr>
      <w:r>
        <w:rPr>
          <w:rFonts w:ascii="Times New Roman" w:hAnsi="Times New Roman" w:eastAsia="Times New Roman" w:cs="Times New Roman"/>
          <w:sz w:val="20"/>
          <w:szCs w:val="20"/>
        </w:rPr>
        <w:t xml:space="preserve">Not applicable.</w:t>
      </w:r>
    </w:p>
    <w:p>
      <w:pPr>
        <w:jc w:val="left"/>
        <w:spacing w:before="0" w:after="0"/>
      </w:pPr>
      <w:r>
        <w:rPr>
          <w:rFonts w:ascii="Times New Roman" w:hAnsi="Times New Roman" w:eastAsia="Times New Roman" w:cs="Times New Roman"/>
          <w:sz w:val="20"/>
          <w:szCs w:val="20"/>
          <w:color w:val="000000"/>
          <w:b/>
          <w:bCs/>
          <w:i/>
          <w:iCs/>
        </w:rPr>
        <w:t xml:space="preserve">Consent for publication</w:t>
      </w:r>
    </w:p>
    <w:p>
      <w:pPr>
        <w:pStyle w:val="11"/>
        <w:jc w:val="left"/>
        <w:ind w:firstLine="420"/>
      </w:pPr>
      <w:r>
        <w:rPr>
          <w:rFonts w:ascii="Times New Roman" w:hAnsi="Times New Roman" w:eastAsia="Times New Roman" w:cs="Times New Roman"/>
          <w:sz w:val="20"/>
          <w:szCs w:val="20"/>
        </w:rPr>
        <w:t xml:space="preserve">Not applicable.</w:t>
      </w:r>
    </w:p>
    <w:p>
      <w:pPr>
        <w:jc w:val="left"/>
        <w:spacing w:before="0" w:after="0"/>
      </w:pPr>
      <w:r>
        <w:rPr>
          <w:rFonts w:ascii="Times New Roman" w:hAnsi="Times New Roman" w:eastAsia="Times New Roman" w:cs="Times New Roman"/>
          <w:sz w:val="20"/>
          <w:szCs w:val="20"/>
          <w:color w:val="000000"/>
          <w:b/>
          <w:bCs/>
          <w:i/>
          <w:iCs/>
        </w:rPr>
        <w:t xml:space="preserve">Declaration of conflicting interests</w:t>
      </w:r>
    </w:p>
    <w:p>
      <w:pPr>
        <w:pStyle w:val="11"/>
        <w:jc w:val="left"/>
        <w:ind w:firstLine="420"/>
      </w:pPr>
      <w:r>
        <w:rPr>
          <w:rFonts w:ascii="Times New Roman" w:hAnsi="Times New Roman" w:eastAsia="Times New Roman" w:cs="Times New Roman"/>
          <w:sz w:val="20"/>
          <w:szCs w:val="20"/>
        </w:rPr>
        <w:t xml:space="preserve">The author(s) declared no potential conflicts of interest with respect to the research, authorship, and/or publication of this article.</w:t>
      </w:r>
    </w:p>
    <w:p>
      <w:pPr>
        <w:jc w:val="left"/>
        <w:spacing w:before="0" w:after="0"/>
      </w:pPr>
      <w:r>
        <w:rPr>
          <w:rFonts w:ascii="Times New Roman" w:hAnsi="Times New Roman" w:eastAsia="Times New Roman" w:cs="Times New Roman"/>
          <w:sz w:val="20"/>
          <w:szCs w:val="20"/>
          <w:color w:val="000000"/>
          <w:b/>
          <w:bCs/>
          <w:i/>
          <w:iCs/>
        </w:rPr>
        <w:t xml:space="preserve">Funding</w:t>
      </w:r>
    </w:p>
    <w:p>
      <w:pPr>
        <w:pStyle w:val="11"/>
        <w:jc w:val="left"/>
        <w:ind w:firstLine="420"/>
      </w:pPr>
      <w:r>
        <w:rPr>
          <w:rFonts w:ascii="Times New Roman" w:hAnsi="Times New Roman" w:eastAsia="Times New Roman" w:cs="Times New Roman"/>
          <w:sz w:val="20"/>
          <w:szCs w:val="20"/>
        </w:rPr>
        <w:t xml:space="preserve">This work was supported by the Postdoctoral Research Project of China Resources Power Technology Research Institute Co., Ltd. (Internal Project No. 374322).</w:t>
      </w:r>
    </w:p>
    <w:p>
      <w:pPr>
        <w:jc w:val="left"/>
        <w:spacing w:before="0" w:after="0"/>
      </w:pPr>
      <w:r>
        <w:rPr>
          <w:rFonts w:ascii="Times New Roman" w:hAnsi="Times New Roman" w:eastAsia="Times New Roman" w:cs="Times New Roman"/>
          <w:sz w:val="20"/>
          <w:szCs w:val="20"/>
          <w:color w:val="000000"/>
          <w:b/>
          <w:bCs/>
          <w:i/>
          <w:iCs/>
        </w:rPr>
        <w:t xml:space="preserve">Data availability</w:t>
      </w:r>
    </w:p>
    <w:p>
      <w:pPr>
        <w:pStyle w:val="11"/>
        <w:jc w:val="left"/>
        <w:ind w:firstLine="420"/>
      </w:pPr>
      <w:r>
        <w:rPr>
          <w:rFonts w:ascii="Times New Roman" w:hAnsi="Times New Roman" w:eastAsia="Times New Roman" w:cs="Times New Roman"/>
          <w:sz w:val="20"/>
          <w:szCs w:val="20"/>
        </w:rPr>
        <w:t xml:space="preserve">The source code, simulation scripts, benchmark results, plotting scripts, derived plant-historian metrics, and bounded controller-export excerpts are available in the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GitHub repository</w:t>
      </w:r>
      <w:r>
        <w:rPr>
          <w:rFonts w:ascii="Times New Roman" w:hAnsi="Times New Roman" w:eastAsia="Times New Roman" w:cs="Times New Roman"/>
          <w:sz w:val="20"/>
          <w:szCs w:val="20"/>
        </w:rPr>
        <w:t xml:space="preserve">. Complete raw plant records are proprietary enterprise assets. Qualified researchers may request restricted access from the corresponding author, subject to data-owner approval and an executed data-use agreement.</w:t>
      </w:r>
    </w:p>
    <w:p>
      <w:pPr>
        <w:jc w:val="left"/>
        <w:spacing w:before="0" w:after="0"/>
      </w:pPr>
      <w:r>
        <w:rPr>
          <w:rFonts w:ascii="Times New Roman" w:hAnsi="Times New Roman" w:eastAsia="Times New Roman" w:cs="Times New Roman"/>
          <w:sz w:val="20"/>
          <w:szCs w:val="20"/>
          <w:color w:val="000000"/>
          <w:b/>
          <w:bCs/>
          <w:i/>
          <w:iCs/>
        </w:rPr>
        <w:t xml:space="preserve">Declaration of generative AI and AI-assisted technologies</w:t>
      </w:r>
    </w:p>
    <w:p>
      <w:pPr>
        <w:pStyle w:val="11"/>
        <w:jc w:val="left"/>
        <w:ind w:firstLine="420"/>
      </w:pPr>
      <w:r>
        <w:rPr>
          <w:rFonts w:ascii="Times New Roman" w:hAnsi="Times New Roman" w:eastAsia="Times New Roman" w:cs="Times New Roman"/>
          <w:sz w:val="20"/>
          <w:szCs w:val="20"/>
        </w:rPr>
        <w:t xml:space="preserve">During preparation of this work, the authors used Grammarly for English grammar checking. The authors reviewed and edited the manuscript and take full responsibility for its content.</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L Wu, L Huang, Y Wang, B Jiang, D Li.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Y W Feng, Y H Li.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 D Ames, S Coogan, M Egerstedt, G Notomista, K Sreenath, P Tabuada.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W Xiao, C Belta, C G Cassandras.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C E Rasmussen, C K I Williams. Gaussian processes for machine learning. MIT Press; 2006.</w:t>
      </w:r>
    </w:p>
    <w:p>
      <w:pPr>
        <w:pStyle w:val="18"/>
        <w:jc w:val="left"/>
        <w:ind w:left="360" w:hanging="360"/>
      </w:pPr>
      <w:r>
        <w:rPr>
          <w:rFonts w:ascii="Times New Roman" w:hAnsi="Times New Roman" w:eastAsia="Times New Roman" w:cs="Times New Roman"/>
          <w:sz w:val="20"/>
          <w:szCs w:val="20"/>
        </w:rPr>
        <w:t>[6] N Srinivas, A Krause, S M Kakade, M W Seeger.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R Cheng, G Orosz, R M Murray, J W Burdick.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J F Fisac, A K Akametalu, M N Zeilinger, S Kaynama, J Gillula, C J Tomlin.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F Castañeda, J J Choi, B Zhang, C J Tomlin, K Sreenath.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M Aali, J Liu.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Y Zhang, L Wen, Z Bing, X Yao, L Kong, W He, A Knoll. Adaptive safety-critical control for high-order systems: A real-time Gaussian process approach. IEEE Trans Autom Sci Eng. 2025. doi:10.1109/TASE.2025.3611987</w:t>
      </w:r>
    </w:p>
    <w:p>
      <w:pPr>
        <w:pStyle w:val="18"/>
        <w:jc w:val="left"/>
        <w:ind w:left="360" w:hanging="360"/>
      </w:pPr>
      <w:r>
        <w:rPr>
          <w:rFonts w:ascii="Times New Roman" w:hAnsi="Times New Roman" w:eastAsia="Times New Roman" w:cs="Times New Roman"/>
          <w:sz w:val="20"/>
          <w:szCs w:val="20"/>
        </w:rPr>
        <w:t>[12] K J Åström, R D Bell.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S Y Li, H B Liu, W J Cai, Y C Soh, L H Xie.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W Tan, J Z Liu, F Fang.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X Liu, P Guan, C W Chan.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M A Abdelbaky, X Liu, X Kong.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J Z Liu, D L Zeng, L Tian, M M Gao, W Wang, Y G Niu, F Fang.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S J Qin, T A Badgwell.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D Q Mayne, J B Rawlings, C V Rao, P O M Scokaert.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 Morari, J H Lee.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D Q Mayne, M M Seron, S V Raković.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A Mesbah.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L Hewing, J Kabzan, M N Zeilinger.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P Wieland, F Allgöwer.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M Jankovic.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A J Taylor, A Singletary, Y Yue, A D Ames.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Q Long, Y T Wang, J Pan.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J Zeng, B Zhang, Z Li, K Sreenath.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 Agrawal, K Sreenath.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A J Taylor, V D Dorobantu, R K Cosner, Y Yue, A D Ames.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R K Cosner, Y Yue, A D Ames.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A Lederer, J Umlauft, S Hirche.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 Alburayt, W P Syam. Bayesian machine learning for measurement noise estimation of focus variation microscopy instrument. Meas Control. 2026;59(6):857–69. doi:10.1177/00202940251374964</w:t>
      </w:r>
    </w:p>
    <w:p>
      <w:pPr>
        <w:pStyle w:val="18"/>
        <w:jc w:val="left"/>
        <w:ind w:left="360" w:hanging="360"/>
      </w:pPr>
      <w:r>
        <w:rPr>
          <w:rFonts w:ascii="Times New Roman" w:hAnsi="Times New Roman" w:eastAsia="Times New Roman" w:cs="Times New Roman"/>
          <w:sz w:val="20"/>
          <w:szCs w:val="20"/>
        </w:rPr>
        <w:t>[34] S R Chowdhury, A Gopalan.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ns1="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ns1:mathPr>
    <ns1:mathFont ns1:val="Times New Roman"/>
  </ns1: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7" Target="media/rId67.png" /><Relationship Type="http://schemas.openxmlformats.org/officeDocument/2006/relationships/image" Id="rId61" Target="media/rId61.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Commissioning-Calibrated GP-HOCBF Safety Filtering for Ultra-Supercritical Boiler-Turbine Control under Model Mismatch</dc:title>
  <dc:creator/>
  <cp:keywords/>
</cp:coreProperties>
</file>