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Default Extension="odttf" ContentType="application/vnd.openxmlformats-officedocument.obfuscatedFont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core.xml" ContentType="application/vnd.openxmlformats-package.core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media/rId33.png" ContentType="image/png"/>
  <ns0:Override PartName="/word/media/rId56.png" ContentType="image/png"/>
  <ns0:Override PartName="/word/media/rId76.png" ContentType="image/png"/>
  <ns0:Override PartName="/word/media/rId60.png" ContentType="image/png"/>
  <ns0:Override PartName="/word/media/rId48.png" ContentType="image/png"/>
  <ns0:Override PartName="/word/media/rId52.png" ContentType="image/png"/>
  <ns0:Override PartName="/word/media/rId82.png" ContentType="image/png"/>
  <ns0:Override PartName="/word/media/rId70.png" ContentType="image/png"/>
  <ns0:Override PartName="/word/media/rId65.png" ContentType="image/png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officeDocument/2006/math" xmlns:w="http://schemas.openxmlformats.org/wordprocessingml/2006/main">
  <w:body>
    <w:p>
      <w:pPr>
        <w:jc w:val="center"/>
      </w:pPr>
      <w:r>
        <w:rPr>
          <w:rFonts w:ascii="Times New Roman" w:hAnsi="Times New Roman" w:eastAsia="Times New Roman" w:cs="Times New Roman"/>
          <w:sz w:val="30"/>
          <w:szCs w:val="30"/>
          <w:b/>
          <w:bCs/>
        </w:rPr>
        <w:t>Supplemental Material for "Commissioning-Calibrated GP-HOCBF Safety Filtering for Ultra-Supercritical Boiler-Turbine Control under Model Mismatch"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 xml:space="preserve">Supplemental Material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Citation numbers follow the numbering of the main article.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S1 Native-Sample Safety and QP Diagnostics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All benchmark violation rates are evaluated at the native 1 s controller instants. A controller sample is counted once when any enforced pressure, separator-enthalpy, or power barrier satisfies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min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k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&lt;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2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raw barrier units. The tolerance excludes numerical boundary roundoff; the unrounded minimum barrier is retained separately. Episode-level event probabilities are not combined with these sample rates. Table S1 reports the corresponding count-level S3 diagnostics.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S1.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Count-level S3 diagnostics for the primary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validation. Each row aggregates 50 independent 500-sample rollouts. A rejected QP is non-converged, non-finite, or has maximum normalized primal residual above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6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1. Count-level S3 diagnostics for the primary \Delta g=0 validation. Each row aggregates 50 independent 500-sample rollouts. A rejected QP is non-converged, non-finite, or has maximum normalized primal residual above 10^{-6}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3300"/>
        <w:gridCol w:w="1750"/>
        <w:gridCol w:w="1750"/>
        <w:gridCol w:w="1700"/>
      </w:tblGrid>
      <w:tr>
        <w:trPr>
          <w:tblHeader w:val="on"/>
          <w:cantSplit/>
        </w:trPr>
        <w:tc>
          <w:tcPr>
            <w:tcW w:w="33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Method</w:t>
            </w:r>
          </w:p>
        </w:tc>
        <w:tc>
          <w:tcPr>
            <w:tcW w:w="17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Violating samples</w:t>
            </w:r>
          </w:p>
        </w:tc>
        <w:tc>
          <w:tcPr>
            <w:tcW w:w="17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rejected</w:t>
            </w:r>
          </w:p>
        </w:tc>
        <w:tc>
          <w:tcPr>
            <w:tcW w:w="1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intervention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HOCBF, no GP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9798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RoCBF-SF tune-selected,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41.32%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Full implemented-margin endpoint,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1</ns1:t>
              </ns1:r>
            </ns1:oMath>
          </w:p>
        </w:tc>
        <w:tc>
          <w:tcPr>
            <w:tcW w:w="17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9798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tune-selected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row has no rejected QP in S3. The full implemented-margin row rejects every S3 QP, reverts to the upstream proposal, and consequently reproduces the no-GP violation count. This endpoint does not satisfy the robust-QP-feasibility assumption of Theorem 1.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S2 Robustness-Factor Tune/Test Separation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Tune seeds 0–2 each contain 10 episodes of 500 controller samples. Thus, each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setting contains 15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tune samples. The predeclared selector is the smallest setting for which both pooled and maximum-per-seed violation rates are below 1% and both pooled and maximum-per-seed QP-rejection rates are below 0.5%. Table S2 gives the complete candidate-level selection data.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S2.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Tune-seed selection data. Rates are percentages of native controller samples. Wilson upper limits are descriptive Bernoulli-reference values; adjacent samples are serially correlated.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2. Tune-seed selection data. Rates are percentages of native controller samples. Wilson upper limits are descriptive Bernoulli-reference values; adjacent samples are serially correlated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850"/>
        <w:gridCol w:w="1650"/>
        <w:gridCol w:w="1300"/>
        <w:gridCol w:w="1800"/>
        <w:gridCol w:w="1400"/>
        <w:gridCol w:w="1500"/>
      </w:tblGrid>
      <w:tr>
        <w:trPr>
          <w:tblHeader w:val="on"/>
          <w:cantSplit/>
        </w:trPr>
        <w:tc>
          <w:tcPr>
            <w:tcW w:w="8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</ns1:oMath>
          </w:p>
        </w:tc>
        <w:tc>
          <w:tcPr>
            <w:tcW w:w="1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Violation count (rate)</w:t>
            </w:r>
          </w:p>
        </w:tc>
        <w:tc>
          <w:tcPr>
            <w:tcW w:w="13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Max. seed violation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rejection count (rate)</w:t>
            </w:r>
          </w:p>
        </w:tc>
        <w:tc>
          <w:tcPr>
            <w:tcW w:w="1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Max. seed rejection</w:t>
            </w:r>
          </w:p>
        </w:tc>
        <w:tc>
          <w:tcPr>
            <w:tcW w:w="15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0.01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0.02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0.05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0.10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 (0.087)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0.120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0.20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4849 (32.327)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37.540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11220 (74.800)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87.660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5663 (37.753)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40.140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14972 (99.813)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99.880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1.00</w:t>
            </w:r>
          </w:p>
        </w:tc>
        <w:tc>
          <w:tcPr>
            <w:tcW w:w="1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5648 (37.653)</w:t>
            </w:r>
          </w:p>
        </w:tc>
        <w:tc>
          <w:tcPr>
            <w:tcW w:w="13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40.000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15000 (100.000)</w:t>
            </w:r>
          </w:p>
        </w:tc>
        <w:tc>
          <w:tcPr>
            <w:tcW w:w="14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100.000</w:t>
            </w:r>
          </w:p>
        </w:tc>
        <w:tc>
          <w:tcPr>
            <w:tcW w:w="15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selector fixes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before evaluating seeds 3–4. Each held-out seed contains 25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samples. Both seeds record zero violating samples and zero rejected QPs, giving pooled counts of 0/50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for both diagnostics. The descriptive 95% Wilson upper reference for 0/15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tune-set violations is 0.0256%; serial correlation prevents interpreting this value as an independent-trial confidence bound. No holdout result is used to change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zero observed events are not presented as zero event probability.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S3 GP Residual Definition and Commissioning Data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benchmark and deployed GP use the same three-dimensional kernel input,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[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N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e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sSup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]</ns1:t>
                    </ns1:r>
                  </ns1:e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⊤</ns1:t>
                    </ns1:r>
                  </ns1:sup>
                </ns1:s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(S1)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nominal predictor uses the complete seven-state vector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r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B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τ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f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D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f</ns1:t>
            </ns1:r>
            <ns1:r>
              <w:rPr>
                <w:rFonts w:ascii="Times New Roman" w:hAnsi="Times New Roman" w:eastAsia="Times New Roman" w:cs="Times New Roman"/>
              </w:rPr>
              <ns1:t>w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u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t</ns1:t>
            </ns1:r>
          </ns1:sub>
        </ns1:sSub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⊤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 all three proposed control commands. The three learning targets are residual rates,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y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+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f>
                  <ns1:fPr>
                    <ns1:type ns1:val="bar"/>
                  </ns1:fPr>
                  <ns1:num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x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sSubSup>
                      <ns1:e>
                        <ns1:acc>
                          <ns1:accPr>
                            <ns1:chr ns1:val="̂"/>
                          </ns1:accPr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</ns1:acc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</ns1:sub>
                      <ns1: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n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o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m</ns1:t>
                        </ns1:r>
                      </ns1:sup>
                    </ns1:sSubSup>
                  </ns1:num>
                  <ns1:den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T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s</ns1:t>
                        </ns1:r>
                      </ns1:sub>
                    </ns1:sSub>
                  </ns1:den>
                </ns1:f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  </ns1:t>
                </ns1:r>
                <ns1:r>
                  <w:rPr>
                    <w:rFonts w:ascii="Times New Roman" w:hAnsi="Times New Roman" w:eastAsia="Times New Roman" w:cs="Times New Roman"/>
                  </w:rPr>
                  <ns1:t>j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∈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{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N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e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}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(S2)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Kernel distances use the frozen training transform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n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n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each residual target is standardized by its training mean and standard deviation. The transforms are not updated online.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plant commissioning record contains approximately 14 days of 1 Hz historian and commissioning data (about 1.21 million state transitions). Stops, manual operation, communication faults, stale measurements, interlock action, missing values, and identified bad points are removed, leaving approximately 250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candidate transitions. Days 1–10 form the training candidate pool; day 11 is a 24 h isolation gap; and days 12–14 form the independent validation pool. Normalization parameters and kernel hyperparameters use only days 1–10. Table S3 specifies the fixed load-stratum quotas used for coverage selection.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S3.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Fixed plant-GP load strata and quotas. Candidates are separated by at least 60 s and selected by deterministic farthest-point coverage in standardized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space. Quotas are not borrowed between strata.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3. Fixed plant-GP load strata and quotas. Candidates are separated by at least 60 s and selected by deterministic farthest-point coverage in standardized (p_m,h_m,N_e) space. Quotas are not borrowed between strata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3100"/>
        <w:gridCol w:w="2700"/>
        <w:gridCol w:w="2700"/>
      </w:tblGrid>
      <w:tr>
        <w:trPr>
          <w:tblHeader w:val="on"/>
          <w:cantSplit/>
        </w:trPr>
        <w:tc>
          <w:tcPr>
            <w:tcW w:w="3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Generator-load stratum (MW)</w:t>
            </w:r>
          </w:p>
        </w:tc>
        <w:tc>
          <w:tcPr>
            <w:tcW w:w="2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Training points</w:t>
            </w:r>
          </w:p>
        </w:tc>
        <w:tc>
          <w:tcPr>
            <w:tcW w:w="2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Validation points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180–264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264–363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363–462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462–561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561–660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Total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200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Three independent exact Matérn-5/2 GPs are trained and frozen after offline replay. The deployed dictionary remains at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500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; online sample growth is zero. Models are reviewed quarterly and after major maintenance or a material coal-source change. The current and previous stable versions are retained for rollback. Exact-GP storage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O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q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2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 offline retraining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O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q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q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3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outputs. Three float32 Cholesky factors occupy approximately 3 MB; training arrays, coefficients, and kernel parameters occupy approximately 10–20 MB. The deployed JAX process has a larger runtime resident set (approximately 0.5–2 GB), but this does not grow with online operation because the dictionary is frozen.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controlled sensitivity experiment uses five independent seeds. Each of the nine dictionary-size–corruption settings therefore comprises five seeded fit-and-evaluation runs (45 runs in total). Each run fits three scalar-output GPs, one for each component of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]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giving 135 scalar GP fits. It then evaluates 200 held-out transitions and one 500-sample S3 closed-loop rollout. Corruption replaces 5% or 10% of selected training targets by signed three-training-standard-deviation offsets; it does not represent a measured plant bad-point rate. Table S4 reports the held-out and closed-loop sensitivity results.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S4.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GP quantity/quality sensitivity. NRMSE and interval coverage are averaged over outputs and seeds. Closed-loop columns aggregate 2500 native controller samples per cell.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4. GP quantity/quality sensitivity. NRMSE and interval coverage are averaged over outputs and seeds. Closed-loop columns aggregate 2500 native controller samples per cell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650"/>
        <w:gridCol w:w="1100"/>
        <w:gridCol w:w="1100"/>
        <w:gridCol w:w="1250"/>
        <w:gridCol w:w="1550"/>
        <w:gridCol w:w="1450"/>
        <w:gridCol w:w="1400"/>
      </w:tblGrid>
      <w:tr>
        <w:trPr>
          <w:tblHeader w:val="on"/>
          <w:cantSplit/>
        </w:trPr>
        <w:tc>
          <w:tcPr>
            <w:tcW w:w="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ns1:oMath>
              <ns1:r>
                <w:rPr>
                  <w:rFonts w:ascii="Times New Roman" w:hAnsi="Times New Roman" w:eastAsia="Times New Roman" w:cs="Times New Roman"/>
                </w:rPr>
                <ns1:t>N</ns1:t>
              </ns1:r>
            </ns1:oMath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Target corruption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Held-out NRMSE</w:t>
            </w:r>
          </w:p>
        </w:tc>
        <w:tc>
          <w:tcPr>
            <w:tcW w:w="12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 coverage</w:t>
            </w:r>
          </w:p>
        </w:tc>
        <w:tc>
          <w:tcPr>
            <w:tcW w:w="15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Violation,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4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rejection,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intervention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0.00090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41.80%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0.00055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41.76%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0.00046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41.76%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0.54291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96.03%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20.24%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6.76%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24.00%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0.41965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97.13%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5.76%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4.04%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37.12%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0.06085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99.90%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41.92%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0.66568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96.37%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15.12%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8.60%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27.16%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0.44662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97.03%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13.16%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5.88%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33.20%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0.08745</w:t>
            </w:r>
          </w:p>
        </w:tc>
        <w:tc>
          <w:tcPr>
            <w:tcW w:w="12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99.80%</w:t>
            </w:r>
          </w:p>
        </w:tc>
        <w:tc>
          <w:tcPr>
            <w:tcW w:w="15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41.32%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corrupted fits are deliberately evaluated without the pre-enable data-quality gate. The 100- and 250-point dictionaries show increased violations and QP rejection, while the 500-point dictionary retains zero observed violations and no rejection under both bounded fault-injection levels. The comparison therefore tests the joint effects of dictionary coverage and target quality; it does not imply that every corrupted fit fails or that the 500-point model is robust to arbitrary bad data. In deployment, held-out residual, coverage, and QP-feasibility checks are all required before a model receives write authority.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S4 Coverage Monitoring and Fallback State Machine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online input-coverage statistic and standardized innovation are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eqArr>
                  <ns1:e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z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i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</ns1:sub>
                    </ns1:sSub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G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P</ns1:t>
                            </ns1:r>
                          </ns1:sup>
                        </ns1:sSub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μ</ns1:t>
                            </ns1:r>
                          </ns1:e>
                          <ns1:sub>
                            <ns1:sSub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i</ns1:t>
                                </ns1:r>
                              </ns1:sub>
                            </ns1:sSub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a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</ns1:sup>
                        </ns1:sSubSup>
                      </ns1:num>
                      <ns1:den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s</ns1:t>
                            </ns1:r>
                          </ns1:e>
                          <ns1:sub>
                            <ns1:sSub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i</ns1:t>
                                </ns1:r>
                              </ns1:sub>
                            </ns1:sSub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a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</ns1:sup>
                        </ns1:sSubSup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e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μ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(</ns1:t>
                        </ns1:r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G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P</ns1:t>
                            </ns1:r>
                          </ns1:sup>
                        </ns1:sSub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)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</ns1:num>
                      <ns1:den>
                        <ns1:rad>
                          <ns1:radPr>
                            <ns1:degHide ns1:val="on"/>
                          </ns1:radPr>
                          <ns1:deg/>
                          <ns1:e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σ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j</ns1:t>
                                </ns1:r>
                              </ns1:sub>
                              <ns1: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2</ns1:t>
                                </ns1:r>
                              </ns1:sup>
                            </ns1:sSub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(</ns1:t>
                            </ns1:r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k</ns1:t>
                                </ns1:r>
                              </ns1:sub>
                              <ns1:sup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G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P</ns1:t>
                                </ns1:r>
                              </ns1:sup>
                            </ns1:sSub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)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σ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n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,</ns1:t>
                                </ns1:r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j</ns1:t>
                                </ns1:r>
                              </ns1:sub>
                              <ns1: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2</ns1:t>
                                </ns1:r>
                              </ns1:sup>
                            </ns1:sSubSup>
                          </ns1:e>
                        </ns1:rad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r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Sup>
                          <ns1:e>
                            <ns1:acc>
                              <ns1:accPr>
                                <ns1:chr ns1:val="̂"/>
                              </ns1:accPr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</ns1:acc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|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o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m</ns1:t>
                            </ns1:r>
                          </ns1:sup>
                        </ns1:sSubSup>
                      </ns1:num>
                      <ns1:den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s</ns1:t>
                            </ns1:r>
                          </ns1:sub>
                        </ns1:sSub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.</ns1:t>
                    </ns1:r>
                  </ns1:e>
                </ns1:eqAr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(S3)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Here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r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k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+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n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all have residual-rate units. Because the deployed sampling period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T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s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s, this notation correction does not change the reported numerical thresholds. Table S5 lists the monitor triggers and associated supervisory actions.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S5.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GP coverage and degradation thresholds used by the deployed supervisor.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5. GP coverage and degradation thresholds used by the deployed supervisor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1900"/>
        <w:gridCol w:w="2800"/>
        <w:gridCol w:w="3800"/>
      </w:tblGrid>
      <w:tr>
        <w:trPr>
          <w:tblHeader w:val="on"/>
          <w:cantSplit/>
        </w:trPr>
        <w:tc>
          <w:tcPr>
            <w:tcW w:w="19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Monitor</w:t>
            </w:r>
          </w:p>
        </w:tc>
        <w:tc>
          <w:tcPr>
            <w:tcW w:w="2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Trigger</w:t>
            </w:r>
          </w:p>
        </w:tc>
        <w:tc>
          <w:tcPr>
            <w:tcW w:w="3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Action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Input coverage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|</ns1:t>
              </ns1:r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z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i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|</ns1:t>
              </ns1:r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3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or outside the training 0.5th–99.5th percentile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Enter full-row nominal-HOCBF mode.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Posterior uncertainty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Above the validation-set 99th percentile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Withdraw GP mean correction.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Standardized innovation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e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j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3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for three cycles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Withdraw GP mean correction and alarm.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Severe innovation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e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j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5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once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Immediate live-DCS bypass.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Persistent OOD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More than 1% of cycles in one hour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Create an offline recalibration task.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Recovery</w:t>
            </w:r>
          </w:p>
        </w:tc>
        <w:tc>
          <w:tcPr>
            <w:tcW w:w="2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Ten consecutive cycles with valid input, innovation, and variance checks</w:t>
            </w:r>
          </w:p>
        </w:tc>
        <w:tc>
          <w:tcPr>
            <w:tcW w:w="3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Permit GP-mode recovery subject to controller authorization.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Moderate coverage loss follows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eqArr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GP-RoCBF-SF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for at most 10 cycles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GP-RoCBF-SF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after 10 healthy cycles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BYPASS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live DCS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otherwise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.</ns1:t>
                    </ns1:r>
                  </ns1:e>
                </ns1:eqAr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(S4)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Invalid measurements or communication, non-finite/model-load faults, nominal-QP or actuator-constraint infeasibility, a direct physical-bound exceedance, pressure-low physical margin below 2.0 MPa, or a QP/task timeout bypasses the bounded degraded stage immediately. The nominal-HOCBF interval has no GP coverage claim.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An initially infeasible QP permits one reduced-QP retry only for the whitelisted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pressure_low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row. Let the physical command deviation be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d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with normalized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1</ns1:t>
        </ns1:r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transformed row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acc>
              <ns1:accPr>
                <ns1:chr ns1:val="̃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G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authority measure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a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acc>
              <ns1:accPr>
                <ns1:chr ns1:val="̃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G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Row removal requires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w:rPr>
                    <w:rFonts w:ascii="Times New Roman" w:hAnsi="Times New Roman" w:eastAsia="Times New Roman" w:cs="Times New Roman"/>
                  </w:rPr>
                  <ns1:t>i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nor/>
                    <ns1:scr ns1:val="monospace"/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pressure_low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a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&lt;</ns1:t>
                </ns1:r>
                <ns1:r>
                  <w:rPr>
                    <w:rFonts w:ascii="Times New Roman" w:hAnsi="Times New Roman" w:eastAsia="Times New Roman" w:cs="Times New Roman"/>
                  </w:rPr>
                  <ns1:t>0.01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&lt;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−</ns1:t>
                </ns1:r>
                <ns1:s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10</ns1:t>
                    </ns1:r>
                  </ns1:e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6</ns1:t>
                    </ns1:r>
                  </ns1:sup>
                </ns1:s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w:rPr>
                    <w:rFonts w:ascii="Times New Roman" w:hAnsi="Times New Roman" w:eastAsia="Times New Roman" w:cs="Times New Roman"/>
                  </w:rPr>
                  <ns1:t>M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−</ns1:t>
                </ns1:r>
                <ns1: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w:rPr>
                    <w:rFonts w:ascii="Times New Roman" w:hAnsi="Times New Roman" w:eastAsia="Times New Roman" w:cs="Times New Roman"/>
                  </w:rPr>
                  <ns1:t>L</ns1:t>
                </ns1:r>
                <ns1:r>
                  <w:rPr>
                    <w:rFonts w:ascii="Times New Roman" w:hAnsi="Times New Roman" w:eastAsia="Times New Roman" w:cs="Times New Roman"/>
                  </w:rPr>
                  <ns1:t>O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≥</ns1:t>
                </ns1:r>
                <ns1:r>
                  <w:rPr>
                    <w:rFonts w:ascii="Times New Roman" w:hAnsi="Times New Roman" w:eastAsia="Times New Roman" w:cs="Times New Roman"/>
                  </w:rPr>
                  <ns1:t>2.0</ns1:t>
                </ns1:r>
                <ns1:r>
                  <w:rPr>
                    <w:rFonts w:ascii="Times New Roman" w:hAnsi="Times New Roman" w:eastAsia="Times New Roman" w:cs="Times New Roman"/>
                  </w:rPr>
                  <ns1:t> 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M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a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(S5)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with valid measurements and no active protection or interlock. The authority norm is evaluated after actuator normalization but before unit-row scaling. No actuator box/rate row or second CBF row can be removed, and only one retry is permitted. A successful reduced QP is reported as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optimal_recovered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; it is outside the full-row certificate.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deployed task deadline is 1000 ms, equal to the controller period. The field QP timeout is 200 ms. A timeout, non-finite result, or failed retry returns the current live DCS command rather than the previous algorithm command. Three consecutive solve failures, communication loss beyond 3 s, a process restart, or a model-load fault latches bypass. Re-entry requires valid measurements, heartbeats, and dry-run QPs for ten cycles, DCS automatic mode, inactive protection/interlocks, operator reset acknowledgement, and the active Kubernetes lease. A 10 s linear blend is then used for bumpless transfer, provided the QP and DCS commands differ by no more than 2% of actuator range and both lie in the current feasible set.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Kubernetes uses a 3 s Lease renewed every 1 s. Only the lease holder may assert the local write permit; standby Pods connect to Modbus TCP read-only. The DCS remains the final write-permission owner and requires enable, automatic mode, no manual mode, valid echoed heartbeat with age no greater than 2 s, active lease ownership, and a fresh command sequence. Loss of any condition selects the live coordinated-control command.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S5 Plant Historian and Controller-Export Evidence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public production-evidence index separates historian context from controller execution. MW01–MW03 are post-retrofit low-to-mid-load historian windows used only to position measured load and main-steam pressure in the operating-envelope figure; they do not supply controller-internal QP fields. MW04–MW06 are confirmed two-hour plant-controller exports covering 480.7–629.7 MW. Each contains 1440 records at 5 s export spacing from a controller executing at 1 s, giving 4320 exported records rather than 4320 controller cycles. These exports directly support the timestamps, operating mode, QP/recovery status, logged margins, saturation flags, and timing statistics reported below. GP lifecycle, Kubernetes lease ownership, heartbeat/sequence checks, and DCS write-permission rules are deployment-configuration specifications; the exports do not expose every internal handshake transition.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confirmed controller/historian mappings used in the revision are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w:rPr>
            <w:rFonts w:ascii="Times New Roman" w:hAnsi="Times New Roman" w:eastAsia="Times New Roman" w:cs="Times New Roman"/>
          </w:rPr>
          <ns1:t>E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20CQTP_MW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DCS2_20HAG10CP101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H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DCS2_SEPARATOUT_ENTH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independent tag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DCS2_MAIN_PRESS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main-steam pressure. The exported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PST_HI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value is a main-steam-pressure replay bound, not the separator-pressure upper limit.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cohort analysis uses 300 s historian records from 2024–2025 and 25 June–5 July 2026. Two-hour windows contain 24 consecutive records and advance every 30 min. All 24 load samples must lie in 195–700 MW; pressure, pressure setpoint, and fuel flow must be finite, pressure channels must lie in 5–35 MPa, and fuel flow must be positive. One-to-one matching without replacement minimizes a standardized sum of squared differences in mean load, 24-point load-profile RMSE, load range, and mean fuel/load ratio. The respective calipers are 10, 30, and 40 MW and 0.08. The complete derived pair table and hashes of the 24 monthly pre-retrofit query files and the post-retrofit query file are included in the reproducibility package. Table S6 summarizes the recomputed matched cohort and its descriptive intervals.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S6.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Recomputed load-matched historian cohort. Windows overlap because they advance every 30 min; the post-day cluster-bootstrap intervals are therefore descriptive and are not randomized-treatment confidence intervals.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6. Recomputed load-matched historian cohort. Windows overlap because they advance every 30 min; the post-day cluster-bootstrap intervals are therefore descriptive and are not randomized-treatment confidence intervals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2500"/>
        <w:gridCol w:w="1800"/>
        <w:gridCol w:w="1800"/>
        <w:gridCol w:w="2400"/>
      </w:tblGrid>
      <w:tr>
        <w:trPr>
          <w:tblHeader w:val="on"/>
          <w:cantSplit/>
        </w:trPr>
        <w:tc>
          <w:tcPr>
            <w:tcW w:w="25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Quantity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Pre-retrofit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Post-retrofit</w:t>
            </w:r>
          </w:p>
        </w:tc>
        <w:tc>
          <w:tcPr>
            <w:tcW w:w="2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Difference or interval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Loaded candidate windows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14,675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517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512 one-to-one pairs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Unique calendar days in pairs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193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Pressure-residual standard deviation, median (MPa)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0.523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0.502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3.93% reduction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Absolute pressure-residual p95, median (MPa)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1.082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1.085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0.30% increase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Pair fraction with lower standard deviation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55.27%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Pair fraction with lower absolute-error p95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59.18%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Post-day cluster bootstrap, standard-deviation reduction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10,000 resamples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>[-13.0,14.7]%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Post-day cluster bootstrap, p95 reduction</w:t>
            </w:r>
          </w:p>
        </w:tc>
        <w:tc>
          <w:tcPr>
            <w:tcW w:w="1800" w:type="dxa"/>
            <w:gridSpan w:val="2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10,000 resamples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>[-9.4,13.1]%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Median pair-quality diagnostics are 1.32 MW mean-load difference, 15.37 MW load-profile RMSE, 5.24 MW load-range difference, and 0.0115 fuel/load difference. The broad cluster-bootstrap intervals in Table S6 show that the cohort supports operating-context consistency but not a precise population effect estimate. The native 5 s pair in the main article provides the higher-resolution response diagnostic; the controller exports separately establish online filter execution. Table S7 then summarizes the separate high-load controller-export evidence.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S7.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High-load controller-export evidence. Direct margins are minima over all 1440 records in each window.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“None”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the status column denotes no reduced-QP recovery and no saturation flag.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7. High-load controller-export evidence. Direct margins are minima over all 1440 records in each window. “None” in the status column denotes no reduced-QP recovery and no saturation flag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650"/>
        <w:gridCol w:w="1250"/>
        <w:gridCol w:w="1100"/>
        <w:gridCol w:w="1100"/>
        <w:gridCol w:w="1150"/>
        <w:gridCol w:w="1900"/>
        <w:gridCol w:w="1350"/>
      </w:tblGrid>
      <w:tr>
        <w:trPr>
          <w:tblHeader w:val="on"/>
          <w:cantSplit/>
        </w:trPr>
        <w:tc>
          <w:tcPr>
            <w:tcW w:w="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Window</w:t>
            </w:r>
          </w:p>
        </w:tc>
        <w:tc>
          <w:tcPr>
            <w:tcW w:w="12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 (MW)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Sep.-pressure low margin (MPa)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Main-pressure high margin (MPa)</w:t>
            </w:r>
          </w:p>
        </w:tc>
        <w:tc>
          <w:tcPr>
            <w:tcW w:w="11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Nearest enthalpy margin (kJ/kg)</w:t>
            </w:r>
          </w:p>
        </w:tc>
        <w:tc>
          <w:tcPr>
            <w:tcW w:w="19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QP/recovery record</w:t>
            </w:r>
          </w:p>
        </w:tc>
        <w:tc>
          <w:tcPr>
            <w:tcW w:w="13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QP/task p95 (ms)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MW04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563.0–621.2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2.217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2.173</w:t>
            </w:r>
          </w:p>
        </w:tc>
        <w:tc>
          <w:tcPr>
            <w:tcW w:w="11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62.284</w:t>
            </w:r>
          </w:p>
        </w:tc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1397 optimal; 43 recovered; 1 fuel-sat.</w:t>
            </w:r>
          </w:p>
        </w:tc>
        <w:tc>
          <w:tcPr>
            <w:tcW w:w="13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4.195 / 26.238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547.9–629.7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3.438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1.483</w:t>
            </w:r>
          </w:p>
        </w:tc>
        <w:tc>
          <w:tcPr>
            <w:tcW w:w="11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20.354</w:t>
            </w:r>
          </w:p>
        </w:tc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1440 optimal; none</w:t>
            </w:r>
          </w:p>
        </w:tc>
        <w:tc>
          <w:tcPr>
            <w:tcW w:w="13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4.074 / 26.139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MW06</w:t>
            </w:r>
          </w:p>
        </w:tc>
        <w:tc>
          <w:tcPr>
            <w:tcW w:w="12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480.7–619.3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2.705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0.463</w:t>
            </w:r>
          </w:p>
        </w:tc>
        <w:tc>
          <w:tcPr>
            <w:tcW w:w="11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0.359</w:t>
            </w:r>
          </w:p>
        </w:tc>
        <w:tc>
          <w:tcPr>
            <w:tcW w:w="19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1440 optimal; none</w:t>
            </w:r>
          </w:p>
        </w:tc>
        <w:tc>
          <w:tcPr>
            <w:tcW w:w="13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4.062 / 26.159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All 43 MW04 recovery records have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FB_RSN=weak_authority_constraint_drop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ACT_CSTR=pressure_low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and negative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MG_PLO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. The diagnostic row ranges from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>-0.03266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to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>-0.00561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while the direct physical margin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L</ns1:t>
        </ns1:r>
        <ns1:r>
          <w:rPr>
            <w:rFonts w:ascii="Times New Roman" w:hAnsi="Times New Roman" w:eastAsia="Times New Roman" w:cs="Times New Roman"/>
          </w:rPr>
          <ns1:t>O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ranges from 2.21654 to 2.36306 MPa and the other five exported HOCBF margins remain positive. MW05–MW06 contain no reduced-QP record. Across MW04–MW06, QP time has median/p95/maximum values 3.557/4.095/6.234 ms, and total task time has corresponding values 24.564/26.183/28.665 ms.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plant value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0.1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fixed after training-block replay and passes the one-pass time-isolated validation gate without retuning; it is not copied from the benchmark S3 selection. Record-level plant replay remains a restricted enterprise asset and is not inferred from the high-load controller exports. The original PID gains, output limits, anti-windup, sliding-pressure curve, coordinated-control logic, and fuel/feedwater/turbine-valve base loops are unchanged; RoCBF-SF is added downstream with enable, bypass, heartbeat, command-quality, and DCS-selection logic. The outage also includes instrument calibration, actuator inspection, combustion-equipment maintenance, and heat-surface cleaning, so the historian before/after comparison is observational. The controller exports separately establish that the proposed filter executed after restart.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public reproducibility package contains source code, simulation results, derived historian metrics, bounded controller-export excerpts, field maps, and source/public hashes. Complete raw historian and original controller exports are enterprise assets. Qualified researchers may request restricted access from the corresponding author, subject to data-owner approval and the applicable data-use conditions.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S6 Computation and Sampled-Data Boundary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NMPC reference uses a warm-started SLSQP solve with horizon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5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output weights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d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input weights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d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normalized deviation-input bounds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1</ns1:t>
        </ns1:r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six prediction constraints, additive disturbance correction with gain 0.5,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maxiter</w:t>
      </w:r>
      <w:r>
        <w:rPr>
          <w:rFonts w:ascii="Times New Roman" w:hAnsi="Times New Roman" w:eastAsia="Times New Roman" w:cs="Times New Roman"/>
          <w:sz w:val="20"/>
          <w:szCs w:val="20"/>
        </w:rPr>
        <w:t>=50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ftol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4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Its convergence, residual, and computation-time statistics are regenerated with the actuator-augmented benchmark and reported from that frozen result set. These values describe the implemented reference rather than an optimized industrial MPC package.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Across the seven confirmatory conditions, pooled research-pipeline time per controller update ranges from 3.19 to 6.71 ms for the tune-selected RoCBF-SF row and from 3.75 to 20.82 ms for NMPC. NMPC records no solver failure and 0/175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observed state-limit violations in this implementation. These benchmark wall-clock measurements are distinct from the deployed-CPU evidence: the confirmed controller exports report a maximum QP time of 6.234 ms and a maximum total task time of 28.665 ms against the 1000 ms task deadline.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theorem is continuous-time. The controller applies zero-order hold 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T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s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s because 1 s is the deployed coordinated-control task period; the safety filter therefore evaluates each upstream command update before the command-selection stage. This implementation choice does not assign a 1 s time constant to the slower boiler thermal dynamics. The field exports retain one record every 5 s, so their spacing is a logging interval rather than the internal control period. Field task timing establishes computational fit within the 1 s period but does not establish inter-sample forward invariance. Theorem 1 therefore is not presented as a sampled-data certificate; deriving such a certificate is retained as future work.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S7 Proofs of Theoretical Results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S7.1 Residual Cross-Term Bound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Lemma S1 (Residual cross-term bound).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Let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ψ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0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≡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On the simultaneous residual event in Assumption 2 of the main article, suppose a valid pointwise derivative bound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∇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x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available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Then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  <ns1:acc>
                      <ns1:accPr>
                        <ns1:chr ns1:val="̂"/>
                      </ns1:accPr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f</ns1:t>
                        </ns1:r>
                      </ns1:e>
                    </ns1:acc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≤</ns1:t>
                </ns1:r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w:rPr>
                    <w:rFonts w:ascii="Times New Roman" w:hAnsi="Times New Roman" w:eastAsia="Times New Roman" w:cs="Times New Roman"/>
                  </w:rPr>
                  <ns1:t> </ns1:t>
                </ns1:r>
                <ns1:r>
                  <w:rPr>
                    <w:rFonts w:ascii="Times New Roman" w:hAnsi="Times New Roman" w:eastAsia="Times New Roman" w:cs="Times New Roman"/>
                  </w:rPr>
                  <ns1:t>β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(S6)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Proof.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By Cauchy–Schwarz,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  <ns1:acc>
                      <ns1:accPr>
                        <ns1:chr ns1:val="̂"/>
                      </ns1:accPr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f</ns1:t>
                        </ns1:r>
                      </ns1:e>
                    </ns1:acc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∇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sub>
                </ns1:sSub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⊤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Δ</ns1:t>
                </ns1:r>
                <ns1:acc>
                  <ns1:accPr>
                    <ns1:chr ns1:val="̂"/>
                  </ns1:accPr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f</ns1:t>
                    </ns1:r>
                  </ns1:e>
                </ns1:acc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≤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∇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Δ</ns1:t>
                </ns1:r>
                <ns1:acc>
                  <ns1:accPr>
                    <ns1:chr ns1:val="̂"/>
                  </ns1:accPr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f</ns1:t>
                    </ns1:r>
                  </ns1:e>
                </ns1:acc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(S7)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simultaneous residual event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acc>
          <ns1:accPr>
            <ns1:chr ns1:val="̂"/>
          </ns1:accPr>
          <ns1:e>
            <ns1:r>
              <w:rPr>
                <w:rFonts w:ascii="Times New Roman" w:hAnsi="Times New Roman" w:eastAsia="Times New Roman" w:cs="Times New Roman"/>
              </w:rPr>
              <ns1:t>f</ns1:t>
            </ns1:r>
          </ns1:e>
        </ns1:acc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over the modeled outputs, which yields Eq. (S6). Smoothness on a compact operating set ensures that finite global derivative bounds exist when the required derivatives are bounded, but it does not identify them 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∇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◻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online code uses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∇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 a commissioning proxy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Theorem 1 applies to that implementation only when Assumption 3 of the main article independently verifies that the resulting total margin dominates the true top-level HOCBF residual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S7.2 Full Proof of Theorem 1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Proof of Theorem 1.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1 (Simultaneous residual event).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Assumption 2 of the main article states that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f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holds simultaneously for the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q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3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modeled residual outputs and all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with probability at least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δ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Condition on this event. The commissioning multiplier used in the numerical studies does not establish this event by itself.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2 (Compositional bound).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We show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by induction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i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numPr>
          <w:ilvl w:val="0"/>
          <w:numId w:val="1001"/>
        </w:numPr>
        <w:jc w:val="left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Base case (</w:t>
      </w:r>
      <ns1:oMath>
        <ns1: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):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nary>
          <ns1:naryPr>
            <ns1:chr ns1:val="∑"/>
            <ns1:limLoc ns1:val="undOvr"/>
            <ns1:subHide ns1:val="off"/>
            <ns1:supHide ns1:val="on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/>
            </ns1:r>
          </ns1: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</ns1:e>
        </ns1:nary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r>
          <w:rPr>
            <w:rFonts w:ascii="Times New Roman" w:hAnsi="Times New Roman" w:eastAsia="Times New Roman" w:cs="Times New Roman"/>
          </w:rPr>
          <ns1:t>h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sSub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By Step 1 and triangle inequality,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nary>
          <ns1:naryPr>
            <ns1:chr ns1:val="∑"/>
            <ns1:limLoc ns1:val="undOvr"/>
            <ns1:subHide ns1:val="off"/>
            <ns1:supHide ns1:val="on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/>
            </ns1:r>
          </ns1: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|</ns1:t>
            </ns1:r>
          </ns1:e>
        </ns1:nary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r>
          <w:rPr>
            <w:rFonts w:ascii="Times New Roman" w:hAnsi="Times New Roman" w:eastAsia="Times New Roman" w:cs="Times New Roman"/>
          </w:rPr>
          <ns1:t>h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numPr>
          <w:ilvl w:val="0"/>
          <w:numId w:val="1001"/>
        </w:numPr>
        <w:jc w:val="left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Inductive step (</w:t>
      </w:r>
      <ns1:oMath>
        <ns1: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r>
          <w:rPr>
            <w:rFonts w:ascii="Times New Roman" w:hAnsi="Times New Roman" w:eastAsia="Times New Roman" w:cs="Times New Roman"/>
          </w:rPr>
          <ns1:t>2</ns1:t>
        </ns1:r>
      </ns1:oMath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):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Assume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residual recursion in the main article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|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k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first term is bounded as in the base case. The second term is bounded by the induction hypothesis. Lemma S1 bounds the third term when a valid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available. Assumption 3 requires the operator-norm and cross-term quantities used for the certificate to dominate these terms. Summing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implementation proxy is not substituted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this proof unless Assumption 3 validates that substitution.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3 (Total perturbation).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Combining the inductive bounds from Step 2 with the coupling-coefficient bound in Eq. (S8) yields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nary>
          <ns1:naryPr>
            <ns1:chr ns1:val="∑"/>
            <ns1:limLoc ns1:val="undOvr"/>
            <ns1:subHide ns1:val="off"/>
            <ns1:supHide ns1:val="off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=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m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p>
          <ns1:e>
            <ns1:sSub>
              <ns1:e>
                <ns1:r>
                  <w:rPr>
                    <w:rFonts w:ascii="Times New Roman" w:hAnsi="Times New Roman" w:eastAsia="Times New Roman" w:cs="Times New Roman"/>
                  </w:rPr>
                  <ns1:t>c</ns1:t>
                </ns1:r>
              </ns1:e>
              <ns1:sub>
                <ns1:r>
                  <w:rPr>
                    <w:rFonts w:ascii="Times New Roman" w:hAnsi="Times New Roman" w:eastAsia="Times New Roman" w:cs="Times New Roman"/>
                  </w:rPr>
                  <ns1:t>j</ns1:t>
                </ns1:r>
              </ns1:sub>
            </ns1:sSub>
          </ns1:e>
        </ns1:nary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c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 every admissible deviation input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the applied margin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4 (Forward invariance).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satisfying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b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the definition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b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Hence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ψ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u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e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Because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0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all lower-order recursive conditions in the main article’s definition of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are satisfied initially. The HOCBF forward-invariance theorem cited there therefore renders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forward invariant. ◻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S7.3 Coupling Coefficient Gap Bound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coupling coefficient gap is bounded by: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c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t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r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w:rPr>
                    <w:rFonts w:ascii="Times New Roman" w:hAnsi="Times New Roman" w:eastAsia="Times New Roman" w:cs="Times New Roman"/>
                  </w:rPr>
                  <ns1:t>β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v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max</ns1:t>
                    </ns1:r>
                  </ns1:sub>
                </ns1:sSub>
                <ns1:nary>
                  <ns1:naryPr>
                    <ns1:chr ns1:val="∑"/>
                    <ns1:limLoc ns1:val="undOvr"/>
                    <ns1:subHide ns1:val="off"/>
                    <ns1:supHide ns1:val="on"/>
                  </ns1:naryPr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</ns1:sub>
                  <ns1:sup>
                    <ns1:r>
                      <w:rPr>
                        <w:rFonts w:ascii="Times New Roman" w:hAnsi="Times New Roman" w:eastAsia="Times New Roman" w:cs="Times New Roman"/>
                      </w:rPr>
                      <ns1:t/>
                    </ns1:r>
                  </ns1:sup>
                  <ns1:e>
                    <ns1:sSub>
                      <ns1:e>
                        <ns1:d>
                          <ns1:dPr>
                            <ns1:begChr ns1:val="∥"/>
                            <ns1:sepChr ns1:val=""/>
                            <ns1:endChr ns1:val="∥"/>
                            <ns1:grow/>
                          </ns1:dPr>
                          <ns1:e>
                            <ns1:f>
                              <ns1:fPr>
                                <ns1:type ns1:val="bar"/>
                              </ns1:fPr>
                              <ns1:num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∂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(</ns1:t>
                                </ns1:r>
                                <ns1:sSub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L</ns1:t>
                                    </ns1:r>
                                  </ns1:e>
                                  <ns1:sub>
                                    <ns1:sSub>
                                      <ns1:e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g</ns1:t>
                                        </ns1:r>
                                      </ns1:e>
                                      <ns1:sub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v</ns1:t>
                                        </ns1:r>
                                      </ns1:sub>
                                    </ns1:sSub>
                                  </ns1:sub>
                                </ns1:sSub>
                                <ns1:sSubSup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L</ns1:t>
                                    </ns1:r>
                                  </ns1:e>
                                  <ns1:sub>
                                    <ns1:acc>
                                      <ns1:accPr>
                                        <ns1:chr ns1:val="̂"/>
                                      </ns1:accPr>
                                      <ns1:e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f</ns1:t>
                                        </ns1:r>
                                      </ns1:e>
                                    </ns1:acc>
                                  </ns1:sub>
                                  <ns1:sup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m</ns1:t>
                                    </ns1:r>
                                    <ns1:r>
                                      <ns1:rPr>
                                        <ns1:sty ns1:val="p"/>
                                      </ns1:rP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−</ns1:t>
                                    </ns1:r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1</ns1:t>
                                    </ns1:r>
                                  </ns1:sup>
                                </ns1:sSub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h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)</ns1:t>
                                </ns1:r>
                              </ns1:num>
                              <ns1:den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∂</ns1:t>
                                </ns1:r>
                                <ns1:sSub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x</ns1:t>
                                    </ns1:r>
                                  </ns1:e>
                                  <ns1:sub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j</ns1:t>
                                    </ns1:r>
                                  </ns1:sub>
                                </ns1:sSub>
                              </ns1:den>
                            </ns1:f>
                          </ns1:e>
                        </ns1:d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2</ns1:t>
                        </ns1:r>
                      </ns1:sub>
                    </ns1:sSub>
                  </ns1:e>
                </ns1:nary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(S8)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where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v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0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max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sup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v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∈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[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sSup>
              <ns1:e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]</ns1:t>
                </ns1:r>
              </ns1:e>
              <ns1:sup>
                <ns1:r>
                  <w:rPr>
                    <w:rFonts w:ascii="Times New Roman" w:hAnsi="Times New Roman" w:eastAsia="Times New Roman" w:cs="Times New Roman"/>
                  </w:rPr>
                  <ns1:t>3</ns1:t>
                </ns1:r>
              </ns1:sup>
            </ns1:sSup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w:rPr>
            <w:rFonts w:ascii="Times New Roman" w:hAnsi="Times New Roman" w:eastAsia="Times New Roman" w:cs="Times New Roman"/>
          </w:rPr>
          <ns1:t>v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ad>
          <ns1:radPr>
            <ns1:degHide ns1:val="on"/>
          </ns1:radPr>
          <ns1:deg/>
          <ns1:e>
            <ns1:r>
              <w:rPr>
                <w:rFonts w:ascii="Times New Roman" w:hAnsi="Times New Roman" w:eastAsia="Times New Roman" w:cs="Times New Roman"/>
              </w:rPr>
              <ns1:t>3</ns1:t>
            </ns1:r>
          </ns1:e>
        </ns1:rad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This term is evaluated separately for each barrier row and included in that row’s total margin; Theorem 1 does not assume a fixed ratio between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c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/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hanging="360" w:left="720"/>
      </w:pPr>
      <w:rPr>
        <w:rFonts w:ascii="Times New Roman" w:hAnsi="Times New Roman" w:eastAsia="Times New Roman" w:cs="Times New Roman"/>
      </w:rPr>
    </w:lvl>
    <w:lvl w:ilvl="1" w:tentative="0">
      <w:start w:val="0"/>
      <w:numFmt w:val="bullet"/>
      <w:lvlText w:val=" "/>
      <w:lvlJc w:val="left"/>
      <w:pPr>
        <w:ind w:hanging="360" w:left="1440"/>
      </w:pPr>
      <w:rPr>
        <w:rFonts w:ascii="Times New Roman" w:hAnsi="Times New Roman" w:eastAsia="Times New Roman" w:cs="Times New Roman"/>
      </w:rPr>
    </w:lvl>
    <w:lvl w:ilvl="2" w:tentative="0">
      <w:start w:val="0"/>
      <w:numFmt w:val="bullet"/>
      <w:lvlText w:val=" "/>
      <w:lvlJc w:val="left"/>
      <w:pPr>
        <w:ind w:hanging="360" w:left="2160"/>
      </w:pPr>
      <w:rPr>
        <w:rFonts w:ascii="Times New Roman" w:hAnsi="Times New Roman" w:eastAsia="Times New Roman" w:cs="Times New Roman"/>
      </w:rPr>
    </w:lvl>
    <w:lvl w:ilvl="3" w:tentative="0">
      <w:start w:val="0"/>
      <w:numFmt w:val="bullet"/>
      <w:lvlText w:val=" "/>
      <w:lvlJc w:val="left"/>
      <w:pPr>
        <w:ind w:hanging="360" w:left="2880"/>
      </w:pPr>
      <w:rPr>
        <w:rFonts w:ascii="Times New Roman" w:hAnsi="Times New Roman" w:eastAsia="Times New Roman" w:cs="Times New Roman"/>
      </w:rPr>
    </w:lvl>
    <w:lvl w:ilvl="4" w:tentative="0">
      <w:start w:val="0"/>
      <w:numFmt w:val="bullet"/>
      <w:lvlText w:val=" "/>
      <w:lvlJc w:val="left"/>
      <w:pPr>
        <w:ind w:hanging="360" w:left="3600"/>
      </w:pPr>
      <w:rPr>
        <w:rFonts w:ascii="Times New Roman" w:hAnsi="Times New Roman" w:eastAsia="Times New Roman" w:cs="Times New Roman"/>
      </w:rPr>
    </w:lvl>
    <w:lvl w:ilvl="5" w:tentative="0">
      <w:start w:val="0"/>
      <w:numFmt w:val="bullet"/>
      <w:lvlText w:val=" "/>
      <w:lvlJc w:val="left"/>
      <w:pPr>
        <w:ind w:hanging="360" w:left="4320"/>
      </w:pPr>
      <w:rPr>
        <w:rFonts w:ascii="Times New Roman" w:hAnsi="Times New Roman" w:eastAsia="Times New Roman" w:cs="Times New Roman"/>
      </w:rPr>
    </w:lvl>
    <w:lvl w:ilvl="6" w:tentative="0">
      <w:start w:val="0"/>
      <w:numFmt w:val="bullet"/>
      <w:lvlText w:val=" "/>
      <w:lvlJc w:val="left"/>
      <w:pPr>
        <w:ind w:hanging="360" w:left="5040"/>
      </w:pPr>
      <w:rPr>
        <w:rFonts w:ascii="Times New Roman" w:hAnsi="Times New Roman" w:eastAsia="Times New Roman" w:cs="Times New Roman"/>
      </w:rPr>
    </w:lvl>
    <w:lvl w:ilvl="7" w:tentative="0">
      <w:start w:val="0"/>
      <w:numFmt w:val="bullet"/>
      <w:lvlText w:val=" "/>
      <w:lvlJc w:val="left"/>
      <w:pPr>
        <w:ind w:hanging="360" w:left="5760"/>
      </w:pPr>
      <w:rPr>
        <w:rFonts w:ascii="Times New Roman" w:hAnsi="Times New Roman" w:eastAsia="Times New Roman" w:cs="Times New Roman"/>
      </w:rPr>
    </w:lvl>
    <w:lvl w:ilvl="8" w:tentative="0">
      <w:start w:val="0"/>
      <w:numFmt w:val="bullet"/>
      <w:lvlText w:val=" "/>
      <w:lvlJc w:val="left"/>
      <w:pPr>
        <w:ind w:hanging="360" w:left="6480"/>
      </w:pPr>
      <w:rPr>
        <w:rFonts w:ascii="Times New Roman" w:hAnsi="Times New Roman" w:eastAsia="Times New Roman" w:cs="Times New Roman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hanging="360" w:left="720"/>
      </w:pPr>
      <w:rPr>
        <w:rFonts w:ascii="Times New Roman" w:cs="Times New Roman" w:eastAsia="Times New Roman" w:hAnsi="Times New Roman" w:hint="default"/>
      </w:rPr>
    </w:lvl>
    <w:lvl w:ilvl="1" w:tentative="0">
      <w:start w:val="0"/>
      <w:numFmt w:val="bullet"/>
      <w:lvlText w:val="o"/>
      <w:lvlJc w:val="left"/>
      <w:pPr>
        <w:ind w:hanging="360" w:left="1440"/>
      </w:pPr>
      <w:rPr>
        <w:rFonts w:ascii="Times New Roman" w:cs="Times New Roman" w:eastAsia="Times New Roman" w:hAnsi="Times New Roman" w:hint="default"/>
      </w:rPr>
    </w:lvl>
    <w:lvl w:ilvl="2" w:tentative="0">
      <w:start w:val="0"/>
      <w:numFmt w:val="bullet"/>
      <w:lvlText w:val=""/>
      <w:lvlJc w:val="left"/>
      <w:pPr>
        <w:ind w:hanging="360" w:left="2160"/>
      </w:pPr>
      <w:rPr>
        <w:rFonts w:ascii="Times New Roman" w:cs="Times New Roman" w:eastAsia="Times New Roman" w:hAnsi="Times New Roman" w:hint="default"/>
      </w:rPr>
    </w:lvl>
    <w:lvl w:ilvl="3" w:tentative="0">
      <w:start w:val="0"/>
      <w:numFmt w:val="bullet"/>
      <w:lvlText w:val=""/>
      <w:lvlJc w:val="left"/>
      <w:pPr>
        <w:ind w:hanging="360" w:left="2880"/>
      </w:pPr>
      <w:rPr>
        <w:rFonts w:ascii="Times New Roman" w:cs="Times New Roman" w:eastAsia="Times New Roman" w:hAnsi="Times New Roman" w:hint="default"/>
      </w:rPr>
    </w:lvl>
    <w:lvl w:ilvl="4" w:tentative="0">
      <w:start w:val="0"/>
      <w:numFmt w:val="bullet"/>
      <w:lvlText w:val="o"/>
      <w:lvlJc w:val="left"/>
      <w:pPr>
        <w:ind w:hanging="360" w:left="3600"/>
      </w:pPr>
      <w:rPr>
        <w:rFonts w:ascii="Times New Roman" w:cs="Times New Roman" w:eastAsia="Times New Roman" w:hAnsi="Times New Roman" w:hint="default"/>
      </w:rPr>
    </w:lvl>
    <w:lvl w:ilvl="5" w:tentative="0">
      <w:start w:val="0"/>
      <w:numFmt w:val="bullet"/>
      <w:lvlText w:val=""/>
      <w:lvlJc w:val="left"/>
      <w:pPr>
        <w:ind w:hanging="360" w:left="4320"/>
      </w:pPr>
      <w:rPr>
        <w:rFonts w:ascii="Times New Roman" w:cs="Times New Roman" w:eastAsia="Times New Roman" w:hAnsi="Times New Roman" w:hint="default"/>
      </w:rPr>
    </w:lvl>
    <w:lvl w:ilvl="6" w:tentative="0">
      <w:start w:val="0"/>
      <w:numFmt w:val="bullet"/>
      <w:lvlText w:val=""/>
      <w:lvlJc w:val="left"/>
      <w:pPr>
        <w:ind w:hanging="360" w:left="5040"/>
      </w:pPr>
      <w:rPr>
        <w:rFonts w:ascii="Times New Roman" w:cs="Times New Roman" w:eastAsia="Times New Roman" w:hAnsi="Times New Roman" w:hint="default"/>
      </w:rPr>
    </w:lvl>
    <w:lvl w:ilvl="7" w:tentative="0">
      <w:start w:val="0"/>
      <w:numFmt w:val="bullet"/>
      <w:lvlText w:val="o"/>
      <w:lvlJc w:val="left"/>
      <w:pPr>
        <w:ind w:hanging="360" w:left="5760"/>
      </w:pPr>
      <w:rPr>
        <w:rFonts w:ascii="Times New Roman" w:cs="Times New Roman" w:eastAsia="Times New Roman" w:hAnsi="Times New Roman" w:hint="default"/>
      </w:rPr>
    </w:lvl>
    <w:lvl w:ilvl="8" w:tentative="0">
      <w:start w:val="0"/>
      <w:numFmt w:val="bullet"/>
      <w:lvlText w:val=""/>
      <w:lvlJc w:val="left"/>
      <w:pPr>
        <w:ind w:hanging="360" w:left="6480"/>
      </w:pPr>
      <w:rPr>
        <w:rFonts w:ascii="Times New Roman" w:cs="Times New Roman" w:eastAsia="Times New Roman" w:hAnsi="Times New Roman" w:hint="default"/>
      </w:rPr>
    </w:lvl>
  </w:abstractNum>
  <w:abstractNum w:abstractNumId="2">
    <w:nsid w:val="00A99201"/>
    <w:multiLevelType w:val="multilevel"/>
    <w:tmpl w:val="00A99201"/>
    <w:lvl w:ilvl="0" w:tentative="0">
      <w:start w:val="1"/>
      <w:numFmt w:val="decimal"/>
      <w:lvlText w:val="%1."/>
      <w:lvlJc w:val="left"/>
      <w:pPr>
        <w:ind w:hanging="360" w:left="72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hanging="360" w:left="144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lvlText w:val="%3."/>
      <w:lvlJc w:val="left"/>
      <w:pPr>
        <w:ind w:hanging="360" w:left="21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lvlText w:val="%4."/>
      <w:lvlJc w:val="left"/>
      <w:pPr>
        <w:ind w:hanging="360" w:left="288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lvlText w:val="%5."/>
      <w:lvlJc w:val="left"/>
      <w:pPr>
        <w:ind w:hanging="360" w:left="360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lvlText w:val="%6."/>
      <w:lvlJc w:val="left"/>
      <w:pPr>
        <w:ind w:hanging="360" w:left="432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lvlText w:val="%7."/>
      <w:lvlJc w:val="left"/>
      <w:pPr>
        <w:ind w:hanging="360" w:left="504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lvlText w:val="%8."/>
      <w:lvlJc w:val="left"/>
      <w:pPr>
        <w:ind w:hanging="360" w:left="57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lvlText w:val="%9."/>
      <w:lvlJc w:val="left"/>
      <w:pPr>
        <w:ind w:hanging="360" w:left="6480"/>
      </w:pPr>
      <w:rPr>
        <w:rFonts w:ascii="Times New Roman" w:hAnsi="Times New Roman" w:eastAsia="Times New Roman" w:cs="Times New Roman"/>
      </w:rPr>
    </w:lvl>
  </w:abstractNum>
  <w:abstractNum w:abstractNumId="3">
    <w:nsid w:val="0B6F0419"/>
    <w:multiLevelType w:val="singleLevel"/>
    <w:tmpl w:val="0B6F0419"/>
    <w:lvl w:ilvl="0" w:tentative="0">
      <w:start w:val="1"/>
      <w:numFmt w:val="decimal"/>
      <w:lvlText w:val="[%1]"/>
      <w:lvlJc w:val="left"/>
      <w:pPr>
        <w:tabs>
          <w:tab w:pos="397" w:val="left"/>
        </w:tabs>
        <w:ind w:firstLineChars="0" w:hanging="454" w:left="454" w:leftChars="0"/>
      </w:pPr>
      <w:rPr>
        <w:rFonts w:ascii="Times New Roman" w:cs="Times New Roman" w:eastAsia="Times New Roman" w:hAnsi="Times New Roman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  <w:rPr>
        <w:rFonts w:ascii="Times New Roman" w:hAnsi="Times New Roman" w:eastAsia="Times New Roman" w:cs="Times New Roman"/>
      </w:rPr>
    </w:lvl>
    <w:lvl w:ilvl="1">
      <w:numFmt w:val="bullet"/>
      <w:lvlText w:val=" "/>
      <w:lvlJc w:val="left"/>
      <w:pPr>
        <w:ind w:left="1440" w:hanging="360"/>
      </w:pPr>
      <w:rPr>
        <w:rFonts w:ascii="Times New Roman" w:hAnsi="Times New Roman" w:eastAsia="Times New Roman" w:cs="Times New Roman"/>
      </w:rPr>
    </w:lvl>
    <w:lvl w:ilvl="2">
      <w:numFmt w:val="bullet"/>
      <w:lvlText w:val=" "/>
      <w:lvlJc w:val="left"/>
      <w:pPr>
        <w:ind w:left="2160" w:hanging="360"/>
      </w:pPr>
      <w:rPr>
        <w:rFonts w:ascii="Times New Roman" w:hAnsi="Times New Roman" w:eastAsia="Times New Roman" w:cs="Times New Roman"/>
      </w:rPr>
    </w:lvl>
    <w:lvl w:ilvl="3">
      <w:numFmt w:val="bullet"/>
      <w:lvlText w:val=" "/>
      <w:lvlJc w:val="left"/>
      <w:pPr>
        <w:ind w:left="2880" w:hanging="360"/>
      </w:pPr>
      <w:rPr>
        <w:rFonts w:ascii="Times New Roman" w:hAnsi="Times New Roman" w:eastAsia="Times New Roman" w:cs="Times New Roman"/>
      </w:rPr>
    </w:lvl>
    <w:lvl w:ilvl="4">
      <w:numFmt w:val="bullet"/>
      <w:lvlText w:val=" "/>
      <w:lvlJc w:val="left"/>
      <w:pPr>
        <w:ind w:left="3600" w:hanging="360"/>
      </w:pPr>
      <w:rPr>
        <w:rFonts w:ascii="Times New Roman" w:hAnsi="Times New Roman" w:eastAsia="Times New Roman" w:cs="Times New Roman"/>
      </w:rPr>
    </w:lvl>
    <w:lvl w:ilvl="5">
      <w:numFmt w:val="bullet"/>
      <w:lvlText w:val=" "/>
      <w:lvlJc w:val="left"/>
      <w:pPr>
        <w:ind w:left="4320" w:hanging="360"/>
      </w:pPr>
      <w:rPr>
        <w:rFonts w:ascii="Times New Roman" w:hAnsi="Times New Roman" w:eastAsia="Times New Roman" w:cs="Times New Roman"/>
      </w:rPr>
    </w:lvl>
    <w:lvl w:ilvl="6">
      <w:numFmt w:val="bullet"/>
      <w:lvlText w:val=" "/>
      <w:lvlJc w:val="left"/>
      <w:pPr>
        <w:ind w:left="5040" w:hanging="360"/>
      </w:pPr>
      <w:rPr>
        <w:rFonts w:ascii="Times New Roman" w:hAnsi="Times New Roman" w:eastAsia="Times New Roman" w:cs="Times New Roman"/>
      </w:rPr>
    </w:lvl>
    <w:lvl w:ilvl="7">
      <w:numFmt w:val="bullet"/>
      <w:lvlText w:val=" "/>
      <w:lvlJc w:val="left"/>
      <w:pPr>
        <w:ind w:left="5760" w:hanging="360"/>
      </w:pPr>
      <w:rPr>
        <w:rFonts w:ascii="Times New Roman" w:hAnsi="Times New Roman" w:eastAsia="Times New Roman" w:cs="Times New Roman"/>
      </w:rPr>
    </w:lvl>
    <w:lvl w:ilvl="8">
      <w:numFmt w:val="bullet"/>
      <w:lvlText w:val=" "/>
      <w:lvlJc w:val="left"/>
      <w:pPr>
        <w:ind w:left="6480" w:hanging="360"/>
      </w:pPr>
      <w:rPr>
        <w:rFonts w:ascii="Times New Roman" w:hAnsi="Times New Roman" w:eastAsia="Times New Roman" w:cs="Times New Roman"/>
      </w:r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hint="default" w:eastAsia="Times New Roman"/>
      </w:r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>
      <w:numFmt w:val="bullet"/>
      <w:lvlText w:val=""/>
      <w:lvlJc w:val="left"/>
      <w:pPr>
        <w:ind w:left="2160" w:hanging="360"/>
      </w:pPr>
      <w:rPr>
        <w:rFonts w:ascii="Times New Roman" w:hAnsi="Times New Roman" w:cs="Times New Roman" w:hint="default" w:eastAsia="Times New Roman"/>
      </w:rPr>
    </w:lvl>
    <w:lvl w:ilvl="3">
      <w:numFmt w:val="bullet"/>
      <w:lvlText w:val=""/>
      <w:lvlJc w:val="left"/>
      <w:pPr>
        <w:ind w:left="2880" w:hanging="360"/>
      </w:pPr>
      <w:rPr>
        <w:rFonts w:ascii="Times New Roman" w:hAnsi="Times New Roman" w:cs="Times New Roman" w:hint="default" w:eastAsia="Times New Roman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>
      <w:numFmt w:val="bullet"/>
      <w:lvlText w:val=""/>
      <w:lvlJc w:val="left"/>
      <w:pPr>
        <w:ind w:left="4320" w:hanging="360"/>
      </w:pPr>
      <w:rPr>
        <w:rFonts w:ascii="Times New Roman" w:hAnsi="Times New Roman" w:cs="Times New Roman" w:hint="default" w:eastAsia="Times New Roman"/>
      </w:rPr>
    </w:lvl>
    <w:lvl w:ilvl="6">
      <w:numFmt w:val="bullet"/>
      <w:lvlText w:val=""/>
      <w:lvlJc w:val="left"/>
      <w:pPr>
        <w:ind w:left="5040" w:hanging="360"/>
      </w:pPr>
      <w:rPr>
        <w:rFonts w:ascii="Times New Roman" w:hAnsi="Times New Roman" w:cs="Times New Roman" w:hint="default" w:eastAsia="Times New Roman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>
      <w:numFmt w:val="bullet"/>
      <w:lvlText w:val=""/>
      <w:lvlJc w:val="left"/>
      <w:pPr>
        <w:ind w:left="6480" w:hanging="360"/>
      </w:pPr>
      <w:rPr>
        <w:rFonts w:ascii="Times New Roman" w:hAnsi="Times New Roman" w:cs="Times New Roman" w:hint="default" w:eastAsia="Times New Roman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1000">
    <w:abstractNumId w:val="990"/>
  </w:num>
  <w:num w:numId="1001">
    <w:abstractNumId w:val="991"/>
  </w:num>
</w:numbering>
</file>

<file path=word/settings.xml><?xml version="1.0" encoding="utf-8"?>
<w:settings xmlns:ns1="http://schemas.openxmlformats.org/officeDocument/2006/math" xmlns:w="http://schemas.openxmlformats.org/wordprocessingml/2006/main">
  <w:zoom w:percent="150"/>
  <w:embedSystemFonts/>
  <w:bordersDoNotSurroundHeader w:val="1"/>
  <w:bordersDoNotSurroundFooter w:val="1"/>
  <w:proofState w:grammar="clean" w:spelling="clean"/>
  <w:stylePaneFormatFilter w:val="0004"/>
  <w:doNotTrackMoves/>
  <w:documentProtection w:enforcement="0"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  <w:doNotAutoCompressPictures/>
  <w:defaultImageDpi w:val="600"/>
  <ns1:mathPr>
    <ns1:mathFont ns1:val="Times New Roman"/>
  </ns1:mathPr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="Times New Roman" w:asciiTheme="minorHAnsi" w:cs="Times New Roman" w:cstheme="minorBidi" w:eastAsia="Times New Roman" w:eastAsiaTheme="minorEastAsia" w:hAnsi="Times New Roman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0"/>
    <w:lsdException w:name="heading 4" w:qFormat="1" w:uiPriority="0"/>
    <w:lsdException w:name="heading 5" w:qFormat="1" w:uiPriority="0"/>
    <w:lsdException w:name="heading 6" w:qFormat="1" w:uiPriority="0"/>
    <w:lsdException w:name="heading 7" w:qFormat="1" w:uiPriority="0"/>
    <w:lsdException w:name="heading 8" w:qFormat="1" w:uiPriority="0"/>
    <w:lsdException w:name="heading 9" w:qFormat="1" w:uiPriority="0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qFormat="1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10" w:unhideWhenUsed="0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qFormat="1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qFormat="1" w:semiHidden="0" w:uiPriority="0" w:unhideWhenUsed="0"/>
    <w:lsdException w:name="FollowedHyperlink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widowControl w:val="0"/>
      <w:jc w:val="both"/>
    </w:pPr>
    <w:rPr>
      <w:rFonts w:ascii="Times New Roman" w:asciiTheme="minorHAnsi" w:cs="Times New Roman" w:cstheme="minorBidi" w:eastAsia="Times New Roman" w:eastAsiaTheme="minorEastAsia" w:hAnsi="Times New Roman" w:hAnsiTheme="minorHAnsi"/>
      <w:kern w:val="2"/>
      <w:sz w:val="21"/>
      <w:szCs w:val="24"/>
      <w:lang w:bidi="ar-SA" w:eastAsia="zh-CN" w:val="en-US"/>
    </w:rPr>
  </w:style>
  <w:style w:styleId="2" w:type="paragraph">
    <w:name w:val="heading 1"/>
    <w:basedOn w:val="1"/>
    <w:next w:val="3"/>
    <w:qFormat/>
    <w:uiPriority w:val="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2E54A1"/>
      <w:sz w:val="40"/>
      <w:szCs w:val="40"/>
    </w:rPr>
  </w:style>
  <w:style w:styleId="4" w:type="paragraph">
    <w:name w:val="heading 2"/>
    <w:basedOn w:val="1"/>
    <w:next w:val="3"/>
    <w:semiHidden/>
    <w:unhideWhenUsed/>
    <w:qFormat/>
    <w:uiPriority w:val="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2E54A1"/>
      <w:sz w:val="32"/>
      <w:szCs w:val="32"/>
    </w:rPr>
  </w:style>
  <w:style w:default="1" w:styleId="7" w:type="character">
    <w:name w:val="Default Paragraph Font"/>
    <w:semiHidden/>
    <w:uiPriority w:val="0"/>
  </w:style>
  <w:style w:default="1" w:styleId="6" w:type="table">
    <w:name w:val="Normal Table"/>
    <w:semiHidden/>
    <w:qFormat/>
    <w:uiPriority w:val="0"/>
    <w:tblPr>
      <w:tblCellMar>
        <w:top w:type="dxa" w:w="0"/>
        <w:left w:type="dxa" w:w="108"/>
        <w:bottom w:type="dxa" w:w="0"/>
        <w:right w:type="dxa" w:w="108"/>
      </w:tblCellMar>
    </w:tblPr>
  </w:style>
  <w:style w:styleId="3" w:type="paragraph">
    <w:name w:val="Body Text"/>
    <w:basedOn w:val="1"/>
    <w:link w:val="9"/>
    <w:qFormat/>
    <w:uiPriority w:val="0"/>
    <w:pPr>
      <w:spacing w:after="180" w:before="180"/>
    </w:pPr>
  </w:style>
  <w:style w:styleId="5" w:type="paragraph">
    <w:name w:val="caption"/>
    <w:basedOn w:val="1"/>
    <w:qFormat/>
    <w:uiPriority w:val="0"/>
    <w:pPr>
      <w:spacing w:after="120" w:before="0"/>
    </w:pPr>
    <w:rPr>
      <w:rFonts w:ascii="Times New Roman" w:cs="Times New Roman" w:eastAsia="Times New Roman" w:hAnsi="Times New Roman"/>
      <w:i/>
    </w:rPr>
  </w:style>
  <w:style w:styleId="8" w:type="character">
    <w:name w:val="Hyperlink"/>
    <w:basedOn w:val="9"/>
    <w:qFormat/>
    <w:uiPriority w:val="0"/>
    <w:rPr>
      <w:rFonts w:ascii="Times New Roman" w:cs="Times New Roman" w:eastAsia="Times New Roman" w:hAnsi="Times New Roman"/>
      <w:color w:val="0000FF"/>
      <w:u w:val="single"/>
    </w:rPr>
  </w:style>
  <w:style w:customStyle="1" w:styleId="9" w:type="character">
    <w:name w:val="Body Text Char"/>
    <w:basedOn w:val="7"/>
    <w:link w:val="3"/>
    <w:qFormat/>
    <w:uiPriority w:val="0"/>
  </w:style>
  <w:style w:customStyle="1" w:styleId="10" w:type="character">
    <w:name w:val="Section Number"/>
    <w:basedOn w:val="9"/>
    <w:qFormat/>
    <w:uiPriority w:val="0"/>
  </w:style>
  <w:style w:customStyle="1" w:styleId="11" w:type="paragraph">
    <w:name w:val="First Paragraph"/>
    <w:basedOn w:val="3"/>
    <w:next w:val="3"/>
    <w:qFormat/>
    <w:uiPriority w:val="0"/>
  </w:style>
  <w:style w:customStyle="1" w:styleId="12" w:type="paragraph">
    <w:name w:val="Table Caption"/>
    <w:basedOn w:val="5"/>
    <w:qFormat/>
    <w:uiPriority w:val="0"/>
    <w:pPr>
      <w:keepNext/>
    </w:pPr>
  </w:style>
  <w:style w:customStyle="1" w:styleId="13" w:type="paragraph">
    <w:name w:val="Compact"/>
    <w:basedOn w:val="3"/>
    <w:qFormat/>
    <w:uiPriority w:val="0"/>
    <w:pPr>
      <w:spacing w:after="36" w:before="36"/>
    </w:pPr>
  </w:style>
  <w:style w:customStyle="1" w:styleId="14" w:type="table">
    <w:name w:val="Table"/>
    <w:semiHidden/>
    <w:unhideWhenUsed/>
    <w:qFormat/>
    <w:uiPriority w:val="0"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color="auto" w:space="0" w:sz="0" w:val="single"/>
        </w:tcBorders>
        <w:vAlign w:val="bottom"/>
      </w:tcPr>
    </w:tblStylePr>
  </w:style>
  <w:style w:customStyle="1" w:styleId="15" w:type="paragraph">
    <w:name w:val="Captioned Figure"/>
    <w:basedOn w:val="16"/>
    <w:qFormat/>
    <w:uiPriority w:val="0"/>
    <w:pPr>
      <w:keepNext/>
    </w:pPr>
  </w:style>
  <w:style w:customStyle="1" w:styleId="16" w:type="paragraph">
    <w:name w:val="Figure"/>
    <w:basedOn w:val="1"/>
    <w:qFormat/>
    <w:uiPriority w:val="0"/>
  </w:style>
  <w:style w:customStyle="1" w:styleId="17" w:type="paragraph">
    <w:name w:val="Image Caption"/>
    <w:basedOn w:val="5"/>
    <w:qFormat/>
    <w:uiPriority w:val="0"/>
  </w:style>
  <w:style w:customStyle="1" w:styleId="18" w:type="paragraph">
    <w:name w:val="Bibliography"/>
    <w:basedOn w:val="1"/>
    <w:qFormat/>
    <w:uiPriority w:val="0"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Times New Roman" w:cs="Times New Roman" w:eastAsia="Times New Roman" w:hAnsi="Times New Roman"/>
      <w:b/>
      <w:color w:val="007020"/>
    </w:rPr>
  </w:style>
  <w:style w:customStyle="1" w:styleId="DataTypeTok" w:type="character">
    <w:name w:val="DataTypeTok"/>
    <w:basedOn w:val="VerbatimChar"/>
    <w:rPr>
      <w:rFonts w:ascii="Times New Roman" w:cs="Times New Roman" w:eastAsia="Times New Roman" w:hAnsi="Times New Roman"/>
      <w:color w:val="902000"/>
    </w:rPr>
  </w:style>
  <w:style w:customStyle="1" w:styleId="DecValTok" w:type="character">
    <w:name w:val="DecValTok"/>
    <w:basedOn w:val="VerbatimChar"/>
    <w:rPr>
      <w:rFonts w:ascii="Times New Roman" w:cs="Times New Roman" w:eastAsia="Times New Roman" w:hAnsi="Times New Roman"/>
      <w:color w:val="40a070"/>
    </w:rPr>
  </w:style>
  <w:style w:customStyle="1" w:styleId="BaseNTok" w:type="character">
    <w:name w:val="BaseNTok"/>
    <w:basedOn w:val="VerbatimChar"/>
    <w:rPr>
      <w:rFonts w:ascii="Times New Roman" w:cs="Times New Roman" w:eastAsia="Times New Roman" w:hAnsi="Times New Roman"/>
      <w:color w:val="40a070"/>
    </w:rPr>
  </w:style>
  <w:style w:customStyle="1" w:styleId="FloatTok" w:type="character">
    <w:name w:val="FloatTok"/>
    <w:basedOn w:val="VerbatimChar"/>
    <w:rPr>
      <w:rFonts w:ascii="Times New Roman" w:cs="Times New Roman" w:eastAsia="Times New Roman" w:hAnsi="Times New Roman"/>
      <w:color w:val="40a070"/>
    </w:rPr>
  </w:style>
  <w:style w:customStyle="1" w:styleId="ConstantTok" w:type="character">
    <w:name w:val="ConstantTok"/>
    <w:basedOn w:val="VerbatimChar"/>
    <w:rPr>
      <w:rFonts w:ascii="Times New Roman" w:cs="Times New Roman" w:eastAsia="Times New Roman" w:hAnsi="Times New Roman"/>
      <w:color w:val="880000"/>
    </w:rPr>
  </w:style>
  <w:style w:customStyle="1" w:styleId="CharTok" w:type="character">
    <w:name w:val="CharTok"/>
    <w:basedOn w:val="VerbatimChar"/>
    <w:rPr>
      <w:rFonts w:ascii="Times New Roman" w:cs="Times New Roman" w:eastAsia="Times New Roman" w:hAnsi="Times New Roman"/>
      <w:color w:val="4070a0"/>
    </w:rPr>
  </w:style>
  <w:style w:customStyle="1" w:styleId="SpecialCharTok" w:type="character">
    <w:name w:val="SpecialCharTok"/>
    <w:basedOn w:val="VerbatimChar"/>
    <w:rPr>
      <w:rFonts w:ascii="Times New Roman" w:cs="Times New Roman" w:eastAsia="Times New Roman" w:hAnsi="Times New Roman"/>
      <w:color w:val="4070a0"/>
    </w:rPr>
  </w:style>
  <w:style w:customStyle="1" w:styleId="StringTok" w:type="character">
    <w:name w:val="StringTok"/>
    <w:basedOn w:val="VerbatimChar"/>
    <w:rPr>
      <w:rFonts w:ascii="Times New Roman" w:cs="Times New Roman" w:eastAsia="Times New Roman" w:hAnsi="Times New Roman"/>
      <w:color w:val="4070a0"/>
    </w:rPr>
  </w:style>
  <w:style w:customStyle="1" w:styleId="VerbatimStringTok" w:type="character">
    <w:name w:val="VerbatimStringTok"/>
    <w:basedOn w:val="VerbatimChar"/>
    <w:rPr>
      <w:rFonts w:ascii="Times New Roman" w:cs="Times New Roman" w:eastAsia="Times New Roman" w:hAnsi="Times New Roman"/>
      <w:color w:val="4070a0"/>
    </w:rPr>
  </w:style>
  <w:style w:customStyle="1" w:styleId="SpecialStringTok" w:type="character">
    <w:name w:val="SpecialStringTok"/>
    <w:basedOn w:val="VerbatimChar"/>
    <w:rPr>
      <w:rFonts w:ascii="Times New Roman" w:cs="Times New Roman" w:eastAsia="Times New Roman" w:hAnsi="Times New Roman"/>
      <w:color w:val="bb6688"/>
    </w:rPr>
  </w:style>
  <w:style w:customStyle="1" w:styleId="ImportTok" w:type="character">
    <w:name w:val="ImportTok"/>
    <w:basedOn w:val="VerbatimChar"/>
    <w:rPr>
      <w:rFonts w:ascii="Times New Roman" w:cs="Times New Roman" w:eastAsia="Times New Roman" w:hAnsi="Times New Roman"/>
      <w:b/>
      <w:color w:val="008000"/>
    </w:rPr>
  </w:style>
  <w:style w:customStyle="1" w:styleId="CommentTok" w:type="character">
    <w:name w:val="CommentTok"/>
    <w:basedOn w:val="VerbatimChar"/>
    <w:rPr>
      <w:rFonts w:ascii="Times New Roman" w:cs="Times New Roman" w:eastAsia="Times New Roman" w:hAnsi="Times New Roman"/>
      <w:i/>
      <w:color w:val="60a0b0"/>
    </w:rPr>
  </w:style>
  <w:style w:customStyle="1" w:styleId="DocumentationTok" w:type="character">
    <w:name w:val="DocumentationTok"/>
    <w:basedOn w:val="VerbatimChar"/>
    <w:rPr>
      <w:rFonts w:ascii="Times New Roman" w:cs="Times New Roman" w:eastAsia="Times New Roman" w:hAnsi="Times New Roman"/>
      <w:i/>
      <w:color w:val="ba2121"/>
    </w:rPr>
  </w:style>
  <w:style w:customStyle="1" w:styleId="AnnotationTok" w:type="character">
    <w:name w:val="Annotation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CommentVarTok" w:type="character">
    <w:name w:val="CommentVar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OtherTok" w:type="character">
    <w:name w:val="OtherTok"/>
    <w:basedOn w:val="VerbatimChar"/>
    <w:rPr>
      <w:rFonts w:ascii="Times New Roman" w:cs="Times New Roman" w:eastAsia="Times New Roman" w:hAnsi="Times New Roman"/>
      <w:color w:val="007020"/>
    </w:rPr>
  </w:style>
  <w:style w:customStyle="1" w:styleId="FunctionTok" w:type="character">
    <w:name w:val="FunctionTok"/>
    <w:basedOn w:val="VerbatimChar"/>
    <w:rPr>
      <w:rFonts w:ascii="Times New Roman" w:cs="Times New Roman" w:eastAsia="Times New Roman" w:hAnsi="Times New Roman"/>
      <w:color w:val="06287e"/>
    </w:rPr>
  </w:style>
  <w:style w:customStyle="1" w:styleId="VariableTok" w:type="character">
    <w:name w:val="VariableTok"/>
    <w:basedOn w:val="VerbatimChar"/>
    <w:rPr>
      <w:rFonts w:ascii="Times New Roman" w:cs="Times New Roman" w:eastAsia="Times New Roman" w:hAnsi="Times New Roman"/>
      <w:color w:val="19177c"/>
    </w:rPr>
  </w:style>
  <w:style w:customStyle="1" w:styleId="ControlFlowTok" w:type="character">
    <w:name w:val="ControlFlowTok"/>
    <w:basedOn w:val="VerbatimChar"/>
    <w:rPr>
      <w:rFonts w:ascii="Times New Roman" w:cs="Times New Roman" w:eastAsia="Times New Roman" w:hAnsi="Times New Roman"/>
      <w:b/>
      <w:color w:val="007020"/>
    </w:rPr>
  </w:style>
  <w:style w:customStyle="1" w:styleId="OperatorTok" w:type="character">
    <w:name w:val="OperatorTok"/>
    <w:basedOn w:val="VerbatimChar"/>
    <w:rPr>
      <w:rFonts w:ascii="Times New Roman" w:cs="Times New Roman" w:eastAsia="Times New Roman" w:hAnsi="Times New Roman"/>
      <w:color w:val="666666"/>
    </w:rPr>
  </w:style>
  <w:style w:customStyle="1" w:styleId="BuiltInTok" w:type="character">
    <w:name w:val="BuiltInTok"/>
    <w:basedOn w:val="VerbatimChar"/>
    <w:rPr>
      <w:rFonts w:ascii="Times New Roman" w:cs="Times New Roman" w:eastAsia="Times New Roman" w:hAnsi="Times New Roman"/>
      <w:color w:val="008000"/>
    </w:rPr>
  </w:style>
  <w:style w:customStyle="1" w:styleId="ExtensionTok" w:type="character">
    <w:name w:val="ExtensionTok"/>
    <w:basedOn w:val="VerbatimChar"/>
    <w:rPr>
      <w:rFonts w:ascii="Times New Roman" w:cs="Times New Roman" w:eastAsia="Times New Roman" w:hAnsi="Times New Roman"/>
    </w:rPr>
  </w:style>
  <w:style w:customStyle="1" w:styleId="PreprocessorTok" w:type="character">
    <w:name w:val="PreprocessorTok"/>
    <w:basedOn w:val="VerbatimChar"/>
    <w:rPr>
      <w:rFonts w:ascii="Times New Roman" w:cs="Times New Roman" w:eastAsia="Times New Roman" w:hAnsi="Times New Roman"/>
      <w:color w:val="bc7a00"/>
    </w:rPr>
  </w:style>
  <w:style w:customStyle="1" w:styleId="AttributeTok" w:type="character">
    <w:name w:val="AttributeTok"/>
    <w:basedOn w:val="VerbatimChar"/>
    <w:rPr>
      <w:rFonts w:ascii="Times New Roman" w:cs="Times New Roman" w:eastAsia="Times New Roman" w:hAnsi="Times New Roman"/>
      <w:color w:val="7d9029"/>
    </w:rPr>
  </w:style>
  <w:style w:customStyle="1" w:styleId="RegionMarkerTok" w:type="character">
    <w:name w:val="RegionMarkerTok"/>
    <w:basedOn w:val="VerbatimChar"/>
    <w:rPr>
      <w:rFonts w:ascii="Times New Roman" w:cs="Times New Roman" w:eastAsia="Times New Roman" w:hAnsi="Times New Roman"/>
    </w:rPr>
  </w:style>
  <w:style w:customStyle="1" w:styleId="InformationTok" w:type="character">
    <w:name w:val="Information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WarningTok" w:type="character">
    <w:name w:val="Warning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AlertTok" w:type="character">
    <w:name w:val="AlertTok"/>
    <w:basedOn w:val="VerbatimChar"/>
    <w:rPr>
      <w:rFonts w:ascii="Times New Roman" w:cs="Times New Roman" w:eastAsia="Times New Roman" w:hAnsi="Times New Roman"/>
      <w:b/>
      <w:color w:val="ff0000"/>
    </w:rPr>
  </w:style>
  <w:style w:customStyle="1" w:styleId="ErrorTok" w:type="character">
    <w:name w:val="ErrorTok"/>
    <w:basedOn w:val="VerbatimChar"/>
    <w:rPr>
      <w:rFonts w:ascii="Times New Roman" w:cs="Times New Roman" w:eastAsia="Times New Roman" w:hAnsi="Times New Roman"/>
      <w:b/>
      <w:color w:val="ff0000"/>
    </w:rPr>
  </w:style>
  <w:style w:customStyle="1" w:styleId="NormalTok" w:type="character">
    <w:name w:val="NormalTok"/>
    <w:basedOn w:val="VerbatimChar"/>
    <w:rPr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w:webSettings xmlns:w="http://schemas.openxmlformats.org/wordprocessingml/2006/main">
  <w:allowPNG/>
  <w:doNotSaveAsSingleFile/>
</w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ns0:theme xmlns:ns0="http://schemas.openxmlformats.org/drawingml/2006/main" name="WPS">
  <ns0:themeElements>
    <ns0:clrScheme name="WPS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874CB"/>
      </ns0:accent1>
      <ns0:accent2>
        <ns0:srgbClr val="EE822F"/>
      </ns0:accent2>
      <ns0:accent3>
        <ns0:srgbClr val="F2BA02"/>
      </ns0:accent3>
      <ns0:accent4>
        <ns0:srgbClr val="75BD42"/>
      </ns0:accent4>
      <ns0:accent5>
        <ns0:srgbClr val="30C0B4"/>
      </ns0:accent5>
      <ns0:accent6>
        <ns0:srgbClr val="E54C5E"/>
      </ns0:accent6>
      <ns0:hlink>
        <ns0:srgbClr val="0026E5"/>
      </ns0:hlink>
      <ns0:folHlink>
        <ns0:srgbClr val="7E1FAD"/>
      </ns0:folHlink>
    </ns0:clrScheme>
    <ns0:fontScheme name="WPS">
      <ns0:majorFont>
        <ns0:latin typeface="Calibri Light"/>
        <ns0:ea typeface=""/>
        <ns0:cs typeface=""/>
        <ns0:font script="Jpan" typeface="游ゴシック Light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游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WPS">
      <ns0:fillStyleLst>
        <ns0:solidFill>
          <ns0:schemeClr val="phClr"/>
        </ns0:solidFill>
        <ns0:gradFill>
          <ns0:gsLst>
            <ns0:gs pos="0">
              <ns0:schemeClr val="phClr">
                <ns0:lumOff val="17500"/>
              </ns0:schemeClr>
            </ns0:gs>
            <ns0:gs pos="100000">
              <ns0:schemeClr val="phClr"/>
            </ns0:gs>
          </ns0:gsLst>
          <ns0:lin ang="2700000" scaled="0"/>
        </ns0:gradFill>
        <ns0:gradFill>
          <ns0:gsLst>
            <ns0:gs pos="0">
              <ns0:schemeClr val="phClr">
                <ns0:hueOff val="-2520000"/>
              </ns0:schemeClr>
            </ns0:gs>
            <ns0:gs pos="100000">
              <ns0:schemeClr val="phClr"/>
            </ns0:gs>
          </ns0:gsLst>
          <ns0:lin ang="2700000" scaled="0"/>
        </ns0:gradFill>
      </ns0:fillStyleLst>
      <ns0:lnStyleLst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gradFill>
            <ns0:gsLst>
              <ns0:gs pos="0">
                <ns0:schemeClr val="phClr">
                  <ns0:hueOff val="-4200000"/>
                </ns0:schemeClr>
              </ns0:gs>
              <ns0:gs pos="100000">
                <ns0:schemeClr val="phClr"/>
              </ns0:gs>
            </ns0:gsLst>
            <ns0:lin ang="2700000" scaled="1"/>
          </ns0:gradFill>
          <ns0:prstDash val="solid"/>
          <ns0:miter lim="800000"/>
        </ns0:ln>
      </ns0:lnStyleLst>
      <ns0:effectStyleLst>
        <ns0:effectStyle>
          <ns0:effectLst>
            <ns0:outerShdw blurRad="101600" dist="50800" dir="5400000" algn="ctr" rotWithShape="0">
              <ns0:schemeClr val="phClr">
                <ns0:alpha val="60000"/>
              </ns0:schemeClr>
            </ns0:outerShdw>
          </ns0:effectLst>
        </ns0:effectStyle>
        <ns0:effectStyle>
          <ns0:effectLst>
            <ns0:reflection stA="50000" endA="300" endPos="40000" dist="25400" dir="5400000" sy="-100000" algn="bl" rotWithShape="0"/>
          </ns0:effectLst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</ns0:theme>
</file>

<file path=docProps/core.xml><?xml version="1.0" encoding="utf-8"?>
<cp:coreProperties xmlns:cp="http://schemas.openxmlformats.org/package/2006/metadata/core-properties" xmlns:dc="http://purl.org/dc/elements/1.1/">
  <dc:title>Supplemental Material for “Commissioning-Calibrated GP-HOCBF Safety Filtering for Ultra-Supercritical Boiler-Turbine Control under Model Mismatch”</dc:title>
  <dc:creator/>
  <cp:keywords/>
</cp:coreProperties>
</file>