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103.png" ContentType="image/png"/>
  <ns0:Override PartName="/word/media/rId142.png" ContentType="image/png"/>
  <ns0:Override PartName="/word/media/rId146.png" ContentType="image/png"/>
  <ns0:Override PartName="/word/media/rId127.png" ContentType="image/png"/>
  <ns0:Override PartName="/word/media/rId119.png" ContentType="image/png"/>
  <ns0:Override PartName="/word/media/rId123.png" ContentType="image/png"/>
  <ns0:Override PartName="/word/media/rId138.png" ContentType="image/png"/>
  <ns0:Override PartName="/word/media/rId132.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HOCBF-without-GP controller samples from six mismatch scenarios exceed at least one prespecified constraint tolerance. The predeclared tune/test rule selects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under the same per-constraint native-unit tolerances, the resulting GP-mean filter and an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on held-out seeds. By contrast, the implemented full-margin endpoint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The resulting compositional margin is a candidate tightening, not evidence that a positive margin fraction must improve finite-sample safety. Applying the full implemented margin can over-tighten the online QP, reduce actuator authority, or trigger fallback behavior. The unresolved commissioning question is therefore whether any positive fraction of that margin is both necessary and feasible for the observed residual structure; a defensible selector must also be permitted to retain the GP-mean-only endpoint.</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that select the smallest setting passing safety and feasibility gates, including the mean-only endpoint when no positive fraction is supported.</w:t>
      </w:r>
    </w:p>
    <w:p>
      <w:pPr>
        <w:numPr>
          <w:ilvl w:val="0"/>
          <w:numId w:val="1001"/>
        </w:numPr>
        <w:jc w:val="left"/>
      </w:pPr>
      <w:r>
        <w:rPr>
          <w:rFonts w:ascii="Times New Roman" w:hAnsi="Times New Roman" w:eastAsia="Times New Roman" w:cs="Times New Roman"/>
          <w:b/>
          <w:bCs/>
          <w:sz w:val="20"/>
          <w:szCs w:val="20"/>
        </w:rPr>
        <w:t xml:space="preserve">Simulation validation and measured-operation evidence.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Because their plants, residual models, online updates, and optimization programs differ from the present setting, a numerical reimplementation would not isolate the source of any performance difference. We instead hold the proposed command fixed and compare no-GP HOCBF, GP-mean-only HOCBF, and the full compositional-margin endpoint within one actuator-limited model.</w:t>
      </w:r>
    </w:p>
    <w:p>
      <w:pPr>
        <w:pStyle w:val="3"/>
        <w:jc w:val="left"/>
        <w:ind w:firstLine="420"/>
      </w:pPr>
      <w:r>
        <w:rPr>
          <w:rFonts w:ascii="Times New Roman" w:hAnsi="Times New Roman" w:eastAsia="Times New Roman" w:cs="Times New Roman"/>
          <w:sz w:val="20"/>
          <w:szCs w:val="20"/>
        </w:rPr>
        <w:t xml:space="preserve">Existing robust CBF and GP-CBF formulations also tend to interpret the uncertainty margin as a certificate-driven tightening term. In actuator-limited process-control loops, however, feasibility, fallback activation, and retained control authority are themselves safety-relevant. The contribution here is not the generic observation that tightening can cause infeasibility, nor a claim that positive tightening is always beneficial. It is an explicit chain-level margin for the command-level HOCBF rows, together with a commissioning procedure that may select zero margin when GP mean correction already passes the prespecified safety and feasibility gates.</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normalized deviation command satisfies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With the physical per-cycle command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exp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ξ</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Its forward-Euler update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Physical commands are reconstructed from normalized</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18"/>
                <w:szCs w:val="18"/>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pressure constraint</w:t>
            </w:r>
          </w:p>
        </w:tc>
        <w:tc>
          <w:tcPr>
            <w:tcW w:w="2200" w:type="dxa"/>
            <w:tcBorders>
              <w:top w:val="nil"/>
              <w:bottom w:val="nil"/>
              <w:left w:val="nil"/>
              <w:right w:val="nil"/>
              <w:insideH w:val="nil"/>
              <w:insideV w:val="nil"/>
            </w:tcBorders>
          </w:tcPr>
          <w:p>
            <w:pPr>
              <w:pStyle w:val="13"/>
              <w:jc w:val="left"/>
            </w:pP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MPa;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arg min</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up>
                    <ns1:r>
                      <w:rPr>
                        <w:rFonts w:ascii="Times New Roman" w:hAnsi="Times New Roman" w:eastAsia="Times New Roman" w:cs="Times New Roman"/>
                      </w:rPr>
                      <ns1:t>2</ns1:t>
                    </ns1:r>
                  </ns1:sup>
                </ns1:sSubSup>
                <ns1:r>
                  <w:rPr>
                    <w:rFonts w:ascii="Times New Roman" w:hAnsi="Times New Roman" w:eastAsia="Times New Roman" w:cs="Times New Roman"/>
                  </w:rPr>
                  <ns1:t> </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command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normalized command deviation optimized by the safety filter. The upstream controller proposes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command. The GP-mean-corrected HOCBF rows are written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reserved for the no-GP nominal-model ablation. The term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 The selector is allowed to return zero when no positive margin fraction improves the prespecified safety and QP-feasibility gates.</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x</ns1:t>
                    </ns1:r>
                  </ns1:e>
                </ns1:acc>
                <ns1:r>
                  <ns1:rPr>
                    <ns1:sty ns1:val="p"/>
                  </ns1:rPr>
                  <w:rPr>
                    <w:rFonts w:ascii="Times New Roman" w:hAnsi="Times New Roman" w:eastAsia="Times New Roman" w:cs="Times New Roman"/>
                  </w:rPr>
                  <ns1:t>=</ns1:t>
                </ns1:r>
                <ns1:limLow>
                  <ns1:e>
                    <ns1:limLow>
                      <ns1:e>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nominal</ns1:t>
                    </ns1:r>
                  </ns1:lim>
                </ns1:limLow>
                <ns1:r>
                  <ns1:rPr>
                    <ns1:sty ns1:val="p"/>
                  </ns1:rPr>
                  <w:rPr>
                    <w:rFonts w:ascii="Times New Roman" w:hAnsi="Times New Roman" w:eastAsia="Times New Roman" w:cs="Times New Roman"/>
                  </w:rPr>
                  <ns1:t>+</ns1:t>
                </ns1:r>
                <ns1:limLow>
                  <ns1:e>
                    <ns1:limLow>
                      <ns1:e>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residual</ns1:t>
                    </ns1:r>
                  </ns1:lim>
                </ns1:limLow>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n</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m</ns1:t>
                    </ns1:r>
                  </ns1:sup>
                </ns1:sSup>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benchmark pressure output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0.13</ns1:t>
        </ns1:r>
        <ns1:sSubSup>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up>
            <ns1:r>
              <w:rPr>
                <w:rFonts w:ascii="Times New Roman" w:hAnsi="Times New Roman" w:eastAsia="Times New Roman" w:cs="Times New Roman"/>
              </w:rPr>
              <ns1:t>0.882</ns1:t>
            </ns1:r>
          </ns1:sup>
        </ns1:sSubSup>
      </ns1:oMath>
      <w:r>
        <w:rPr>
          <w:rFonts w:ascii="Times New Roman" w:hAnsi="Times New Roman" w:eastAsia="Times New Roman" w:cs="Times New Roman"/>
          <w:sz w:val="20"/>
          <w:szCs w:val="20"/>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2670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2830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ψ</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m</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For the six barriers indexed by</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c</ns1:t>
        </ns1:r>
      </ns1:oMath>
      <w:r>
        <w:rPr>
          <w:rFonts w:ascii="Times New Roman" w:hAnsi="Times New Roman" w:eastAsia="Times New Roman" w:cs="Times New Roman"/>
          <w:sz w:val="20"/>
          <w:szCs w:val="20"/>
        </w:rPr>
        <w:t xml:space="preserve">, with relative degree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oMath>
      <w:r>
        <w:rPr>
          <w:rFonts w:ascii="Times New Roman" w:hAnsi="Times New Roman" w:eastAsia="Times New Roman" w:cs="Times New Roman"/>
          <w:sz w:val="20"/>
          <w:szCs w:val="20"/>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ns1:rPr>
                    <ns1:scr ns1:val="script"/>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limLow>
                  <ns1:e>
                    <ns1:limUpp>
                      <ns1:e>
                        <ns1:r>
                          <ns1:rPr>
                            <ns1:sty ns1:val="p"/>
                          </ns1:rPr>
                          <w:rPr>
                            <w:rFonts w:ascii="Times New Roman" w:hAnsi="Times New Roman" w:eastAsia="Times New Roman" w:cs="Times New Roman"/>
                          </w:rPr>
                          <ns1:t>⋂</ns1:t>
                        </ns1:r>
                      </ns1:e>
                      <ns1:lim>
                        <ns1:r>
                          <w:rPr>
                            <w:rFonts w:ascii="Times New Roman" w:hAnsi="Times New Roman" w:eastAsia="Times New Roman" w:cs="Times New Roman"/>
                          </w:rPr>
                          <ns1:t>6</ns1:t>
                        </ns1:r>
                      </ns1:lim>
                    </ns1:limUpp>
                  </ns1:e>
                  <ns1:lim>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Low>
                <ns1:limLow>
                  <ns1:e>
                    <ns1:limUpp>
                      <ns1:e>
                        <ns1:r>
                          <ns1:rPr>
                            <ns1:sty ns1:val="p"/>
                          </ns1:rPr>
                          <w:rPr>
                            <w:rFonts w:ascii="Times New Roman" w:hAnsi="Times New Roman" w:eastAsia="Times New Roman" w:cs="Times New Roman"/>
                          </w:rPr>
                          <ns1:t>⋂</ns1:t>
                        </ns1:r>
                      </ns1:e>
                      <ns1:lim>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Upp>
                  </ns1:e>
                  <ns1:lim>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lim>
                </ns1:limLow>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a top-level affine row. For the GP-mean-corrected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this row is defined by</w:t>
      </w:r>
      <w:r>
        <w:rPr>
          <w:rFonts w:ascii="Times New Roman" w:hAnsi="Times New Roman" w:eastAsia="Times New Roman" w:cs="Times New Roman"/>
          <w:sz w:val="20"/>
          <w:szCs w:val="20"/>
        </w:rPr>
        <w:t xml:space="preserve"> </w:t>
      </w:r>
      <ns1:oMath>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is stacked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Applying the same construction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without GP correction gives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104" name="Picture"/>
            <ns3:graphic>
              <ns3:graphicData uri="http://schemas.openxmlformats.org/drawingml/2006/picture">
                <ns4:pic>
                  <ns4:nvPicPr>
                    <ns4:cNvPr descr="figures/Figure_1.png" id="105" name="Picture"/>
                    <ns4:cNvPicPr>
                      <ns3:picLocks noChangeArrowheads="1" noChangeAspect="1"/>
                    </ns4:cNvPicPr>
                  </ns4:nvPicPr>
                  <ns4:blipFill>
                    <ns3:blip ns5:embed="rId103"/>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physical command is reconstructed with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ns1:oMath>
        <ns1:sSub>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s</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K</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(9)</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r>
                      <w:rPr>
                        <w:rFonts w:ascii="Times New Roman" w:hAnsi="Times New Roman" w:eastAsia="Times New Roman" w:cs="Times New Roman"/>
                      </w:rPr>
                      <ns1:t>h</ns1:t>
                    </ns1:r>
                  </ns1:e>
                  <ns1:e>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sSub>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sub>
                        <ns1:r>
                          <w:rPr>
                            <w:rFonts w:ascii="Times New Roman" w:hAnsi="Times New Roman" w:eastAsia="Times New Roman" w:cs="Times New Roman"/>
                          </w:rPr>
                          <ns1:t>2</ns1:t>
                        </ns1:r>
                      </ns1:sub>
                    </ns1:sSub>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3</ns1:t>
            </ns1:r>
          </ns1:e>
        </ns1:rad>
      </ns1: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ℓ</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ℓ</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with the empty product equal to one; hence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each implemented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barrier. The resulting mean-corrected HOCBF constraint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X</ns1:t>
        </ns1:r>
      </ns1:oMath>
      <w:r>
        <w:rPr>
          <w:rFonts w:ascii="Times New Roman" w:hAnsi="Times New Roman" w:eastAsia="Times New Roman" w:cs="Times New Roman"/>
          <w:i/>
          <w:iCs/>
          <w:sz w:val="20"/>
          <w:szCs w:val="20"/>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3</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(9)</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oMath>
      <w:r>
        <w:rPr>
          <w:rFonts w:ascii="Times New Roman" w:hAnsi="Times New Roman" w:eastAsia="Times New Roman" w:cs="Times New Roman"/>
          <w:i/>
          <w:iCs/>
          <w:sz w:val="20"/>
          <w:szCs w:val="20"/>
        </w:rPr>
        <w:t xml:space="preserve">, and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(12)</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ns1:oMath>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If</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then,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 the set</w:t>
      </w:r>
      <w:r>
        <w:rPr>
          <w:rFonts w:ascii="Times New Roman" w:hAnsi="Times New Roman" w:eastAsia="Times New Roman" w:cs="Times New Roman"/>
          <w:i/>
          <w:iCs/>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in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i.e., the GP-mean-corrected HOCBF constraint without an additional robustness margin. The separate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notation denotes the no-GP ablation.</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pP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&lt;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f</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r</ns1:t>
            </ns1:r>
          </ns1:sub>
        </ns1:sSub>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The S3 sweep therefore tests whether that heterogeneity makes a positive margin fraction useful. In the present seven-state benchmark it does not: GP mean correction already passes the prespecified safety gate, while positive tightening progressively consumes QP feasibility. The compositional margin remains the explicit candidate tightening and the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theorem endpoint; finite-sample commissioning is permitted to select zero.</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i</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0.01</ns1:t>
        </ns1:r>
      </ns1: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partition the intended 180–660 MW commissioning domain; the upper 561–660 MW stratum is a coverage bin and does not imply an exact 660 MW steady hold. Each stratum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physical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enforced limits are pressure (13–24 MPa), separator enthalpy (2670–2830 kJ/kg), and generator active power around the dispatch target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20"/>
          <w:szCs w:val="20"/>
        </w:rPr>
        <w:t xml:space="preserve"> MW). All six command-level barriers have relative degree two. The HOCBF uses the sample-matched surrogate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t</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rollout applies its one-step forward-Euler map</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Thus, the HOCBF rows and controller-instant transition use the same drift and command matrices.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true-drift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ψ</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Rejected QP candidates revert to the live upstream proposal and are counted as fallback events. Per-constraint numerical tolerances with the common numerical value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each barrier’s native unit are used only for counting binary state-limit violations; every comparison is performed on the corresponding unrounded constraint value.</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dynamics as an optimization-based reference. It solves a warm-started SLSQP problem with horizon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20"/>
          <w:szCs w:val="20"/>
        </w:rPr>
        <w:t xml:space="preserve">, normalized deviation-input bounds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R</ns1:t>
                    </ns1:r>
                  </ns1:e>
                  <ns1:sub>
                    <ns1:r>
                      <ns1:rPr>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ns1:rPr>
                    <ns1:sty ns1:val="bi"/>
                  </ns1:rP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f>
                  <ns1:fPr>
                    <ns1:type ns1:val="bar"/>
                  </ns1:fPr>
                  <ns1:num>
                    <ns1:nary>
                      <ns1:naryPr>
                        <ns1:chr ns1:val="∑"/>
                        <ns1:limLoc ns1:val="undOvr"/>
                        <ns1:subHide ns1:val="off"/>
                        <ns1:supHide ns1:val="off"/>
                      </ns1:naryPr>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up>
                      <ns1:e>
                        <ns1:nary>
                          <ns1:naryPr>
                            <ns1:chr ns1:val="∑"/>
                            <ns1:limLoc ns1:val="undOvr"/>
                            <ns1:subHide ns1:val="off"/>
                            <ns1:supHide ns1:val="off"/>
                          </ns1:naryPr>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nary>
                              <ns1:naryPr>
                                <ns1:chr ns1:val="∑"/>
                                <ns1:limLoc ns1:val="undOvr"/>
                                <ns1:subHide ns1:val="off"/>
                                <ns1:supHide ns1:val="off"/>
                              </ns1:naryPr>
                              <ns1:sub>
                                <ns1: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r>
                                  <ns1:rPr>
                                    <ns1:sty ns1:val="b"/>
                                  </ns1:rPr>
                                  <w:rPr>
                                    <w:rFonts w:ascii="Times New Roman" w:hAnsi="Times New Roman" w:eastAsia="Times New Roman" w:cs="Times New Roman"/>
                                  </w:rPr>
                                  <ns1:t>1</ns1:t>
                                </ns1:r>
                              </ns1:e>
                            </ns1:nary>
                          </ns1:e>
                        </ns1:nary>
                      </ns1:e>
                    </ns1:nary>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η</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um>
                  <ns1:den>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den>
                </ns1:f>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(13)</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its own tolerance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η</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the same numerical value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separately in the native unit of each barrier: MPa for pressure, kJ/kg for enthalpy, and MW for power. No minimum is taken across quantities with different units. These tolerances avoid counting QP boundary roundoff as a physical violation; later stress-test diagnostics use the tolerances stated in their result files or captions. This is not an episode-level probability. Counts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refer only to its diagnostic rollout, whereas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computed by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per-constraint native-unit tolerances of numerical value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Each cell aggregates 50 independent 500-sample rollouts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per-constraint native-unit tolerances of numerical value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(all</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tune-selected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58.06</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samples exceeding the per-constraint counting tolerances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the resulting GP-mean RoCBF-SF row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across the six mismatch conditions and consequently reproduces the upstream proposal’s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violations. This outcome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w:t>
      </w:r>
      <w:r>
        <w:rPr>
          <w:rFonts w:ascii="Times New Roman" w:hAnsi="Times New Roman" w:eastAsia="Times New Roman" w:cs="Times New Roman"/>
          <w:sz w:val="20"/>
          <w:szCs w:val="20"/>
          <w:color w:val="000000"/>
          <w:b/>
          <w:bCs/>
          <w:i/>
          <w:iCs/>
        </w:rPr>
        <w:t xml:space="preserve">,</w:t>
      </w:r>
      <w:r>
        <w:rPr>
          <w:rFonts w:ascii="Times New Roman" w:hAnsi="Times New Roman" w:eastAsia="Times New Roman" w:cs="Times New Roman"/>
          <w:sz w:val="20"/>
          <w:szCs w:val="20"/>
          <w:color w:val="000000"/>
          <w:b/>
          <w:bCs/>
          <w:i/>
          <w:iCs/>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84165"/>
            <ns2:effectExtent b="0" l="0" r="0" t="0"/>
            <ns2:docPr descr="" title="" id="120" name="Picture"/>
            <ns3:graphic>
              <ns3:graphicData uri="http://schemas.openxmlformats.org/drawingml/2006/picture">
                <ns4:pic>
                  <ns4:nvPicPr>
                    <ns4:cNvPr descr="figures/Figure_6_process_response.png" id="121" name="Picture"/>
                    <ns4:cNvPicPr>
                      <ns3:picLocks noChangeArrowheads="1" noChangeAspect="1"/>
                    </ns4:cNvPicPr>
                  </ns4:nvPicPr>
                  <ns4:blipFill>
                    <ns3:blip ns5:embed="rId119"/>
                    <ns3:stretch>
                      <ns3:fillRect/>
                    </ns3:stretch>
                  </ns4:blipFill>
                  <ns4:spPr bwMode="auto">
                    <ns3:xfrm>
                      <ns3:off x="0" y="0"/>
                      <ns3:ext cx="5006975" cy="338416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pressure-bottleneck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 distinguishing accepted QP intervention, state-limit violation, and rejected-QP fallback.</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 per-constraint counting tolerances defined in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pressure bottleneck directly in a representative S3 rollout. HOCBF without GP correction produces 239/300 counted violations and a minimum lower-pressure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-0.59553</w:t>
      </w:r>
      <w:r>
        <w:rPr>
          <w:rFonts w:ascii="Times New Roman" w:hAnsi="Times New Roman" w:eastAsia="Times New Roman" w:cs="Times New Roman"/>
          <w:sz w:val="20"/>
          <w:szCs w:val="20"/>
        </w:rPr>
        <w:t xml:space="preserve"> MPa. The full implemented-margin endpoint rejects every QP candidate in this rollout and therefore follows the fallback proposal, producing essentially the same pressure excursion. The tune-selected mean-only setting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accepts all 300 QPs, intervenes on 241 samples, and records 0/300 counted violations under the stated pressure tolerance; its unrounded minimum pressure margin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w:rPr>
            <w:rFonts w:ascii="Times New Roman" w:hAnsi="Times New Roman" w:eastAsia="Times New Roman" w:cs="Times New Roman"/>
          </w:rPr>
          <ns1:t>4.94</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sup>
        </ns1:sSup>
      </ns1:oMath>
      <w:r>
        <w:rPr>
          <w:rFonts w:ascii="Times New Roman" w:hAnsi="Times New Roman" w:eastAsia="Times New Roman" w:cs="Times New Roman"/>
          <w:sz w:val="20"/>
          <w:szCs w:val="20"/>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124" name="Picture"/>
            <ns3:graphic>
              <ns3:graphicData uri="http://schemas.openxmlformats.org/drawingml/2006/picture">
                <ns4:pic>
                  <ns4:nvPicPr>
                    <ns4:cNvPr descr="figures/Figure_8_model_mismatch.png" id="125" name="Picture"/>
                    <ns4:cNvPicPr>
                      <ns3:picLocks noChangeArrowheads="1" noChangeAspect="1"/>
                    </ns4:cNvPicPr>
                  </ns4:nvPicPr>
                  <ns4:blipFill>
                    <ns3:blip ns5:embed="rId123"/>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 margins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12.262</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500</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-1.497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-1.050</w:t>
      </w:r>
      <w:r>
        <w:rPr>
          <w:rFonts w:ascii="Times New Roman" w:hAnsi="Times New Roman" w:eastAsia="Times New Roman" w:cs="Times New Roman"/>
          <w:sz w:val="20"/>
          <w:szCs w:val="20"/>
        </w:rPr>
        <w:t xml:space="preserve"> MPa/s for pressure and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-14.777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-14.000</w:t>
      </w:r>
      <w:r>
        <w:rPr>
          <w:rFonts w:ascii="Times New Roman" w:hAnsi="Times New Roman" w:eastAsia="Times New Roman" w:cs="Times New Roman"/>
          <w:sz w:val="20"/>
          <w:szCs w:val="20"/>
        </w:rPr>
        <w:t xml:space="preserve"> kJ kg</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s</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128" name="Picture"/>
            <ns3:graphic>
              <ns3:graphicData uri="http://schemas.openxmlformats.org/drawingml/2006/picture">
                <ns4:pic>
                  <ns4:nvPicPr>
                    <ns4:cNvPr descr="figures/Figure_2.png" id="129" name="Picture"/>
                    <ns4:cNvPicPr>
                      <ns3:picLocks noChangeArrowheads="1" noChangeAspect="1"/>
                    </ns4:cNvPicPr>
                  </ns4:nvPicPr>
                  <ns4:blipFill>
                    <ns3:blip ns5:embed="rId127"/>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 the 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0.01, 0.02, and 0.05 each give 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no rejected QP; the predeclared smallest-passing rule therefore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no counted violation is observed but 13/15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are rejected. Values of 0.2 and above fail the feasibility gate, and the full endpoint rejects all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tune-set QPs. After fixing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held-out seeds 3–4 give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133" name="Picture"/>
            <ns3:graphic>
              <ns3:graphicData uri="http://schemas.openxmlformats.org/drawingml/2006/picture">
                <ns4:pic>
                  <ns4:nvPicPr>
                    <ns4:cNvPr descr="figures/Figure_GP_data_sensitivity.png" id="134" name="Picture"/>
                    <ns4:cNvPicPr>
                      <ns3:picLocks noChangeArrowheads="1" noChangeAspect="1"/>
                    </ns4:cNvPicPr>
                  </ns4:nvPicPr>
                  <ns4:blipFill>
                    <ns3:blip ns5:embed="rId132"/>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gives 0/2500 counted violations and no QP rejection at each size. Synthetic target corruption exposes a dictionary-size dependence: the 100- and 250-point fits produce 5.76–20.24% violation and 4.04–8.60% QP rejection, whereas the 500-point fits retain 0/2500 counted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288</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139" name="Picture"/>
            <ns3:graphic>
              <ns3:graphicData uri="http://schemas.openxmlformats.org/drawingml/2006/picture">
                <ns4:pic>
                  <ns4:nvPicPr>
                    <ns4:cNvPr descr="figures/Figure_9_production_historian.png" id="140" name="Picture"/>
                    <ns4:cNvPicPr>
                      <ns3:picLocks noChangeArrowheads="1" noChangeAspect="1"/>
                    </ns4:cNvPicPr>
                  </ns4:nvPicPr>
                  <ns4:blipFill>
                    <ns3:blip ns5:embed="rId138"/>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0.986</ns1:t>
        </ns1:r>
      </ns1:oMath>
      <w:r>
        <w:rPr>
          <w:rFonts w:ascii="Times New Roman" w:hAnsi="Times New Roman" w:eastAsia="Times New Roman" w:cs="Times New Roman"/>
          <w:sz w:val="20"/>
          <w:szCs w:val="20"/>
        </w:rPr>
        <w:t xml:space="preserve">) and fuel flow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0.980</ns1:t>
        </ns1:r>
      </ns1: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 Taken together, the two record types span measured operation from 195.7 to 629.7 MW (29.7–95.4% of nameplate), but they do not constitute continuous controller-internal performance validation at every load through 660 MW.</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Retained plant work-scope and controller-configuration records distinguish the simultaneous changes. Routine maintenance included instrument calibration, actuator inspection, combustion-equipment maintenance, and heat-surface cleaning. The baseline PID gains, output limits, anti-windup, sliding-pressure curve, coordinated-control logic, and fuel/feedwater/turbine-valve base loops were unchanged; the control-system modification was the downstream RoCBF-SF integration and its enable, bypass, heartbeat, command-quality, and DCS-selection logic. We screened 300 s historian records from 2024–2025 and 25 June–5 July 2026. Candidate two-hour windows contain 24 consecutive samples, advance every 30 min, and retain only load in 195–700 MW with finite pressure, setpoint, and fuel-flow values. The 700 MW ceiling is a permissive data-quality screen rather than an observed operating endpoint; measured ranges are reported separately below.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native-5 s load-matched diagnostic, not a selected member of the 300 s cohort; its source timestamps and metric JSON are preserved independently in the evidence package. The retained records narrow the set of control-system changes but do not remove routine maintenance as a competing explanation, so the response comparison remains observational evidence associated with the documented retrofit rather than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143" name="Picture"/>
            <ns3:graphic>
              <ns3:graphicData uri="http://schemas.openxmlformats.org/drawingml/2006/picture">
                <ns4:pic>
                  <ns4:nvPicPr>
                    <ns4:cNvPr descr="figures/Figure_10_production_retrofit_evidence.png" id="144" name="Picture"/>
                    <ns4:cNvPicPr>
                      <ns3:picLocks noChangeArrowheads="1" noChangeAspect="1"/>
                    </ns4:cNvPicPr>
                  </ns4:nvPicPr>
                  <ns4:blipFill>
                    <ns3:blip ns5:embed="rId142"/>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t</ns1:t>
            </ns1:r>
          </ns1:sub>
        </ns1:sSub>
      </ns1: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147" name="Picture"/>
            <ns3:graphic>
              <ns3:graphicData uri="http://schemas.openxmlformats.org/drawingml/2006/picture">
                <ns4:pic>
                  <ns4:nvPicPr>
                    <ns4:cNvPr descr="figures/Figure_11_controller_log_validation.png" id="148" name="Picture"/>
                    <ns4:cNvPicPr>
                      <ns3:picLocks noChangeArrowheads="1" noChangeAspect="1"/>
                    </ns4:cNvPicPr>
                  </ns4:nvPicPr>
                  <ns4:blipFill>
                    <ns3:blip ns5:embed="rId146"/>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sSub>
          <ns1:e>
            <ns1:r>
              <w:rPr>
                <w:rFonts w:ascii="Times New Roman" w:hAnsi="Times New Roman" w:eastAsia="Times New Roman" w:cs="Times New Roman"/>
              </w:rPr>
              <ns1:t>G</ns1:t>
            </ns1:r>
          </ns1:e>
          <ns1:sub>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0.03266</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0.00561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2.21654</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2.36306</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S</ns1:t>
        </ns1:r>
        <ns1:r>
          <w:rPr>
            <w:rFonts w:ascii="Times New Roman" w:hAnsi="Times New Roman" w:eastAsia="Times New Roman" w:cs="Times New Roman"/>
          </w:rPr>
          <ns1:t>T</ns1:t>
        </ns1:r>
        <ns1:r>
          <ns1:rPr>
            <ns1:sty ns1:val="p"/>
          </ns1:rPr>
          <w:rPr>
            <w:rFonts w:ascii="Times New Roman" w:hAnsi="Times New Roman" w:eastAsia="Times New Roman" w:cs="Times New Roman"/>
          </w:rPr>
          <ns1:t>_</ns1:t>
        </ns1:r>
        <ns1:r>
          <w:rPr>
            <w:rFonts w:ascii="Times New Roman" w:hAnsi="Times New Roman" w:eastAsia="Times New Roman" w:cs="Times New Roman"/>
          </w:rPr>
          <ns1:t>H</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h</ns1:t>
              </ns1:r>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Use a field-calibrated frozen GP whose training domain covers the commissioned operating envelope; select the smallest</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seven-state,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exceeding the prespecified per-constraint native-unit tolerances. The predeclared calibration rule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this RoCBF-SF setting and the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counted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Statements and Declarations</w:t>
      </w:r>
    </w:p>
    <w:p>
      <w:pPr>
        <w:jc w:val="left"/>
        <w:spacing w:before="0" w:after="0"/>
      </w:pPr>
      <w:r>
        <w:rPr>
          <w:rFonts w:ascii="Times New Roman" w:hAnsi="Times New Roman" w:eastAsia="Times New Roman" w:cs="Times New Roman"/>
          <w:sz w:val="20"/>
          <w:szCs w:val="20"/>
          <w:color w:val="000000"/>
          <w:b/>
          <w:bCs/>
          <w:i/>
          <w:iCs/>
        </w:rPr>
        <w:t xml:space="preserve">Ethical considerations</w:t>
      </w:r>
    </w:p>
    <w:p>
      <w:pPr>
        <w:pStyle w:val="11"/>
        <w:jc w:val="left"/>
        <w:ind w:firstLine="420"/>
      </w:pPr>
      <w:r>
        <w:rPr>
          <w:rFonts w:ascii="Times New Roman" w:hAnsi="Times New Roman" w:eastAsia="Times New Roman" w:cs="Times New Roman"/>
          <w:sz w:val="20"/>
          <w:szCs w:val="20"/>
        </w:rPr>
        <w:t xml:space="preserve">Not applicable. This study did not involve human participants, human data, human tissue, or animal experiments.</w:t>
      </w:r>
    </w:p>
    <w:p>
      <w:pPr>
        <w:jc w:val="left"/>
        <w:spacing w:before="0" w:after="0"/>
      </w:pPr>
      <w:r>
        <w:rPr>
          <w:rFonts w:ascii="Times New Roman" w:hAnsi="Times New Roman" w:eastAsia="Times New Roman" w:cs="Times New Roman"/>
          <w:sz w:val="20"/>
          <w:szCs w:val="20"/>
          <w:color w:val="000000"/>
          <w:b/>
          <w:bCs/>
          <w:i/>
          <w:iCs/>
        </w:rPr>
        <w:t xml:space="preserve">Consent to participate</w:t>
      </w:r>
    </w:p>
    <w:p>
      <w:pPr>
        <w:pStyle w:val="11"/>
        <w:jc w:val="left"/>
        <w:ind w:firstLine="420"/>
      </w:pPr>
      <w:r>
        <w:rPr>
          <w:rFonts w:ascii="Times New Roman" w:hAnsi="Times New Roman" w:eastAsia="Times New Roman" w:cs="Times New Roman"/>
          <w:sz w:val="20"/>
          <w:szCs w:val="20"/>
        </w:rPr>
        <w:t xml:space="preserve">Not applicable.</w:t>
      </w:r>
    </w:p>
    <w:p>
      <w:pPr>
        <w:jc w:val="left"/>
        <w:spacing w:before="0" w:after="0"/>
      </w:pPr>
      <w:r>
        <w:rPr>
          <w:rFonts w:ascii="Times New Roman" w:hAnsi="Times New Roman" w:eastAsia="Times New Roman" w:cs="Times New Roman"/>
          <w:sz w:val="20"/>
          <w:szCs w:val="20"/>
          <w:color w:val="000000"/>
          <w:b/>
          <w:bCs/>
          <w:i/>
          <w:iCs/>
        </w:rPr>
        <w:t xml:space="preserve">Consent for publication</w:t>
      </w:r>
    </w:p>
    <w:p>
      <w:pPr>
        <w:pStyle w:val="11"/>
        <w:jc w:val="left"/>
        <w:ind w:firstLine="420"/>
      </w:pPr>
      <w:r>
        <w:rPr>
          <w:rFonts w:ascii="Times New Roman" w:hAnsi="Times New Roman" w:eastAsia="Times New Roman" w:cs="Times New Roman"/>
          <w:sz w:val="20"/>
          <w:szCs w:val="20"/>
        </w:rPr>
        <w:t xml:space="preserve">Not applicable.</w:t>
      </w:r>
    </w:p>
    <w:p>
      <w:pPr>
        <w:jc w:val="left"/>
        <w:spacing w:before="0" w:after="0"/>
      </w:pPr>
      <w:r>
        <w:rPr>
          <w:rFonts w:ascii="Times New Roman" w:hAnsi="Times New Roman" w:eastAsia="Times New Roman" w:cs="Times New Roman"/>
          <w:sz w:val="20"/>
          <w:szCs w:val="20"/>
          <w:color w:val="000000"/>
          <w:b/>
          <w:bCs/>
          <w:i/>
          <w:iCs/>
        </w:rPr>
        <w:t xml:space="preserve">Declaration of conflicting interests</w:t>
      </w:r>
    </w:p>
    <w:p>
      <w:pPr>
        <w:pStyle w:val="11"/>
        <w:jc w:val="left"/>
        <w:ind w:firstLine="420"/>
      </w:pPr>
      <w:r>
        <w:rPr>
          <w:rFonts w:ascii="Times New Roman" w:hAnsi="Times New Roman" w:eastAsia="Times New Roman" w:cs="Times New Roman"/>
          <w:sz w:val="20"/>
          <w:szCs w:val="20"/>
        </w:rPr>
        <w:t xml:space="preserve">The author(s) declared no potential conflicts of interest with respect to the research, authorship, and/or publication of this article.</w:t>
      </w:r>
    </w:p>
    <w:p>
      <w:pPr>
        <w:jc w:val="left"/>
        <w:spacing w:before="0" w:after="0"/>
      </w:pPr>
      <w:r>
        <w:rPr>
          <w:rFonts w:ascii="Times New Roman" w:hAnsi="Times New Roman" w:eastAsia="Times New Roman" w:cs="Times New Roman"/>
          <w:sz w:val="20"/>
          <w:szCs w:val="20"/>
          <w:color w:val="000000"/>
          <w:b/>
          <w:bCs/>
          <w:i/>
          <w:iCs/>
        </w:rPr>
        <w:t xml:space="preserve">Funding</w:t>
      </w:r>
    </w:p>
    <w:p>
      <w:pPr>
        <w:pStyle w:val="11"/>
        <w:jc w:val="left"/>
        <w:ind w:firstLine="420"/>
      </w:pPr>
      <w:r>
        <w:rPr>
          <w:rFonts w:ascii="Times New Roman" w:hAnsi="Times New Roman" w:eastAsia="Times New Roman" w:cs="Times New Roman"/>
          <w:sz w:val="20"/>
          <w:szCs w:val="20"/>
        </w:rPr>
        <w:t xml:space="preserve">This work was supported by the Postdoctoral Research Project of China Resources Power Technology Research Institute Co., Ltd. (Internal Project No. 374322).</w:t>
      </w:r>
    </w:p>
    <w:p>
      <w:pPr>
        <w:jc w:val="left"/>
        <w:spacing w:before="0" w:after="0"/>
      </w:pPr>
      <w:r>
        <w:rPr>
          <w:rFonts w:ascii="Times New Roman" w:hAnsi="Times New Roman" w:eastAsia="Times New Roman" w:cs="Times New Roman"/>
          <w:sz w:val="20"/>
          <w:szCs w:val="20"/>
          <w:color w:val="000000"/>
          <w:b/>
          <w:bCs/>
          <w:i/>
          <w:iCs/>
        </w:rPr>
        <w:t xml:space="preserve">Data availability</w:t>
      </w:r>
    </w:p>
    <w:p>
      <w:pPr>
        <w:pStyle w:val="11"/>
        <w:jc w:val="left"/>
        <w:ind w:firstLine="420"/>
      </w:pPr>
      <w:r>
        <w:rPr>
          <w:rFonts w:ascii="Times New Roman" w:hAnsi="Times New Roman" w:eastAsia="Times New Roman" w:cs="Times New Roman"/>
          <w:sz w:val="20"/>
          <w:szCs w:val="20"/>
        </w:rPr>
        <w:t xml:space="preserve">The source code, simulation scripts, benchmark results, plotting scripts, derived plant-historian metrics, and bounded controller-export excerpts are available in the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GitHub repository</w:t>
      </w:r>
      <w:r>
        <w:rPr>
          <w:rFonts w:ascii="Times New Roman" w:hAnsi="Times New Roman" w:eastAsia="Times New Roman" w:cs="Times New Roman"/>
          <w:sz w:val="20"/>
          <w:szCs w:val="20"/>
        </w:rPr>
        <w:t xml:space="preserve">. Complete raw plant records are proprietary enterprise assets. Qualified researchers may request restricted access from the corresponding author, subject to data-owner approval and an executed data-use agreement.</w:t>
      </w:r>
    </w:p>
    <w:p>
      <w:pPr>
        <w:jc w:val="left"/>
        <w:spacing w:before="0" w:after="0"/>
      </w:pPr>
      <w:r>
        <w:rPr>
          <w:rFonts w:ascii="Times New Roman" w:hAnsi="Times New Roman" w:eastAsia="Times New Roman" w:cs="Times New Roman"/>
          <w:sz w:val="20"/>
          <w:szCs w:val="20"/>
          <w:color w:val="000000"/>
          <w:b/>
          <w:bCs/>
          <w:i/>
          <w:iCs/>
        </w:rPr>
        <w:t xml:space="preserve">Declaration of generative AI and AI-assisted technologies</w:t>
      </w:r>
    </w:p>
    <w:p>
      <w:pPr>
        <w:pStyle w:val="11"/>
        <w:jc w:val="left"/>
        <w:ind w:firstLine="420"/>
      </w:pPr>
      <w:r>
        <w:rPr>
          <w:rFonts w:ascii="Times New Roman" w:hAnsi="Times New Roman" w:eastAsia="Times New Roman" w:cs="Times New Roman"/>
          <w:sz w:val="20"/>
          <w:szCs w:val="20"/>
        </w:rPr>
        <w:t xml:space="preserve">During preparation of this work, the authors used Grammarly for English grammar checking. The authors reviewed and edited the manuscript and take full responsibility for its content.</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Wu L, Huang L, Wang Y, et al.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Feng YW, Li YH.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Ames AD, Coogan S, Egerstedt M, et al.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Xiao W, Belta C, Cassandras CG.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Rasmussen CE, Williams CKI. Gaussian processes for machine learning. MIT Press; 2006.</w:t>
      </w:r>
    </w:p>
    <w:p>
      <w:pPr>
        <w:pStyle w:val="18"/>
        <w:jc w:val="left"/>
        <w:ind w:left="360" w:hanging="360"/>
      </w:pPr>
      <w:r>
        <w:rPr>
          <w:rFonts w:ascii="Times New Roman" w:hAnsi="Times New Roman" w:eastAsia="Times New Roman" w:cs="Times New Roman"/>
          <w:sz w:val="20"/>
          <w:szCs w:val="20"/>
        </w:rPr>
        <w:t>[6] Srinivas N, Krause A, Kakade SM, et al.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Cheng R, Orosz G, Murray RM, et al.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Fisac JF, Akametalu AK, Zeilinger MN, et al.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Castañeda F, Choi JJ, Zhang B, et al.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Aali M, Liu J.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Zhang Y, Wen L, Bing Z, et al. Adaptive safety-critical control for high-order systems: A real-time Gaussian process approach. IEEE Trans Autom Sci Eng. 2025;22:21296–310. doi:10.1109/TASE.2025.3611987</w:t>
      </w:r>
    </w:p>
    <w:p>
      <w:pPr>
        <w:pStyle w:val="18"/>
        <w:jc w:val="left"/>
        <w:ind w:left="360" w:hanging="360"/>
      </w:pPr>
      <w:r>
        <w:rPr>
          <w:rFonts w:ascii="Times New Roman" w:hAnsi="Times New Roman" w:eastAsia="Times New Roman" w:cs="Times New Roman"/>
          <w:sz w:val="20"/>
          <w:szCs w:val="20"/>
        </w:rPr>
        <w:t>[12] Åström KJ, Bell RD.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Li SY, Liu HB, Cai WJ, et al.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Tan W, Liu JZ, Fang F.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Liu X, Guan P, Chan CW.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Abdelbaky MA, Liu X, Kong X.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Liu JZ, Zeng DL, Tian L, et al.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Qin SJ, Badgwell TA.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Mayne DQ, Rawlings JB, Rao CV, et al.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Morari M, Lee JH.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Mayne DQ, Seron MM, Raković SV.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Mesbah A.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Hewing L, Kabzan J, Zeilinger MN.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Wieland P, Allgöwer F.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Jankovic M.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Taylor AJ, Singletary A, Yue Y, et al.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Long Q, Wang YT, Pan J.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Zeng J, Zhang B, Li Z, et al.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Agrawal A, Sreenath K.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Taylor AJ, Dorobantu VD, Cosner RK, et al.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Cosner RK, Yue Y, Ames AD.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Lederer A, Umlauft J, Hirche S.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Alburayt A, Syam WP.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Chowdhury SR, Gopalan A.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90" Target="numbering.xml" /><Relationship Type="http://schemas.openxmlformats.org/officeDocument/2006/relationships/styles" Id="rId89" Target="styles.xml" /><Relationship Type="http://schemas.openxmlformats.org/officeDocument/2006/relationships/settings" Id="rId88" Target="settings.xml" /><Relationship Type="http://schemas.openxmlformats.org/officeDocument/2006/relationships/webSettings" Id="rId87" Target="webSettings.xml" /><Relationship Type="http://schemas.openxmlformats.org/officeDocument/2006/relationships/fontTable" Id="rId86" Target="fontTable.xml" /><Relationship Type="http://schemas.openxmlformats.org/officeDocument/2006/relationships/theme" Id="rId85" Target="theme/theme1.xml" /><Relationship Type="http://schemas.openxmlformats.org/officeDocument/2006/relationships/footnotes" Id="rId84" Target="footnotes.xml" /><Relationship Type="http://schemas.openxmlformats.org/officeDocument/2006/relationships/comments" Id="rId83" Target="comments.xml" /><Relationship Type="http://schemas.openxmlformats.org/officeDocument/2006/relationships/image" Id="rId103" Target="media/rId103.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27" Target="media/rId127.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38" Target="media/rId138.png" /><Relationship Type="http://schemas.openxmlformats.org/officeDocument/2006/relationships/image" Id="rId132" Target="media/rId132.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