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71.png" ContentType="image/png"/>
  <Override PartName="/word/media/rId75.png" ContentType="image/png"/>
  <Override PartName="/word/media/rId56.png" ContentType="image/png"/>
  <Override PartName="/word/media/rId48.png" ContentType="image/png"/>
  <Override PartName="/word/media/rId52.png" ContentType="image/png"/>
  <Override PartName="/word/media/rId67.png" ContentType="image/png"/>
  <Override PartName="/word/media/rId61.png" ContentType="image/png"/>
  <Override PartName="/word/media/rId33.png" ContentType="image/png"/>
  <Override PartName="/word/media/rId56.png" ContentType="image/png"/>
  <Override PartName="/word/media/rId76.png" ContentType="image/png"/>
  <Override PartName="/word/media/rId60.png" ContentType="image/png"/>
  <Override PartName="/word/media/rId48.png" ContentType="image/png"/>
  <Override PartName="/word/media/rId52.png" ContentType="image/png"/>
  <Override PartName="/word/media/rId8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rPr>
        <w:t xml:space="preserve">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drift-only benchmark with</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the no-GP HOCBF produces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 violations in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mismatch samples; GP mean correction reduces this count to 36. In the scenario-specific primary sweep, the tune-selected S3 setting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and the mean-only endpoint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in the remaining conditions give 0/17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observed violations, while an independent 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000-sample holdout test of the fixed S3 setting reports a 0.132% violation rate and 0.144% QP-rejection rate. The full implemented-margin endpoint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Boiler-turbine constraints do not all respond to actuation at the same order, so high-order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needed to preserve the correct constraint dynamics. A uniform first-order CBF baseline would ignore these relative-degree differences, for example by treating the pressure constraint as if the input appeared in its first derivative. That baseline is structurally mismatched for this setting, independent of the separate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rPr>
        <w:t xml:space="preserve">For boiler-turbine control, the difficulty is structural. Pressure, separator enthalpy, and power constraints have different relative degrees, and residual uncertainty propagates through the HOCBF recursion rather than appearing only at the final constraint row. Applying the full implemented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preserves the upstream controller while enforcing pressure, separator-enthalpy, and power constraints with their correct relative degrees.</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rPr>
        <w:t xml:space="preserve">Commissioning-calibrated robustness factor.</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scalar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interpolates between mean-corrected operation and the full implemented uncertainty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rPr>
        <w:t xml:space="preserve">Simulation and production-data validation.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approach is validated on a fifth-order nonlinear boiler-turbine benchmark and bounded production historian records and controller-log exports from a 660 MW ultra-supercritical unit, including violation, intervention, feasibility, latency, and post-retrofit execution diagnostics.</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which is necessary when different process outputs respond to actuation at different orders.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rPr>
        <w:t>29</w:t>
      </w:r>
      <w:r>
        <w:rPr>
          <w:rFonts w:ascii="Times New Roman" w:hAnsi="Times New Roman" w:eastAsia="Times New Roman" w:cs="Times New Roman"/>
          <w:sz w:val="20"/>
          <w:szCs w:val="20"/>
        </w:rPr>
        <w:t>, sampled-data CBFs address the gap between continuous-time design and discrete-time implementation</w:t>
      </w:r>
      <w:r>
        <w:rPr>
          <w:rFonts w:ascii="Times New Roman" w:hAnsi="Times New Roman" w:eastAsia="Times New Roman" w:cs="Times New Roman"/>
          <w:sz w:val="20"/>
          <w:szCs w:val="20"/>
          <w:vertAlign w:val="superscript"/>
        </w:rPr>
        <w:t>30</w:t>
      </w:r>
      <w:r>
        <w:rPr>
          <w:rFonts w:ascii="Times New Roman" w:hAnsi="Times New Roman" w:eastAsia="Times New Roman" w:cs="Times New Roman"/>
          <w:sz w:val="20"/>
          <w:szCs w:val="20"/>
        </w:rPr>
        <w:t>, and recent stochastic discrete-time CBF work studies robustness under uncertainty</w:t>
      </w:r>
      <w:r>
        <w:rPr>
          <w:rFonts w:ascii="Times New Roman" w:hAnsi="Times New Roman" w:eastAsia="Times New Roman" w:cs="Times New Roman"/>
          <w:sz w:val="20"/>
          <w:szCs w:val="20"/>
          <w:vertAlign w:val="superscript"/>
        </w:rPr>
        <w:t>31</w:t>
      </w:r>
      <w:r>
        <w:rPr>
          <w:rFonts w:ascii="Times New Roman" w:hAnsi="Times New Roman" w:eastAsia="Times New Roman" w:cs="Times New Roman"/>
          <w:sz w:val="20"/>
          <w:szCs w:val="20"/>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boiler–turbine DCS deployment, mixed pressure/enthalpy/power relative degrees,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rPr>
        <w:t xml:space="preserve">Online operation has three steps: evaluate the GP residual model, build HOCBF rows with the correct relative degrees,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u</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u</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D</m:t>
            </m:r>
          </m:e>
          <m:sub>
            <m:r>
              <w:rPr>
                <w:rFonts w:ascii="Times New Roman" w:hAnsi="Times New Roman" w:eastAsia="Times New Roman" w:cs="Times New Roman"/>
              </w:rPr>
              <m:t>f</m:t>
            </m:r>
            <m:r>
              <w:rPr>
                <w:rFonts w:ascii="Times New Roman" w:hAnsi="Times New Roman" w:eastAsia="Times New Roman" w:cs="Times New Roman"/>
              </w:rPr>
              <m:t>w</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t</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coal feed, feedwater flow, and turbine-valve opening. The HOCBF and QP are formulated in the deviation-input space. With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B</m:t>
        </m:r>
        <m:r>
          <w:rPr>
            <w:rFonts w:ascii="Times New Roman" w:hAnsi="Times New Roman" w:eastAsia="Times New Roman" w:cs="Times New Roman"/>
          </w:rPr>
          <m:t>K</m:t>
        </m:r>
      </m:oMath>
      <w:r>
        <w:rPr>
          <w:rFonts w:ascii="Times New Roman" w:hAnsi="Times New Roman" w:eastAsia="Times New Roman" w:cs="Times New Roman"/>
          <w:sz w:val="20"/>
          <w:szCs w:val="20"/>
        </w:rPr>
        <w:t xml:space="preserve">, the stabilized deviation model used to build the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ξ</m:t>
                    </m:r>
                  </m:e>
                </m:acc>
                <m:r>
                  <m:rPr>
                    <m:sty m:val="p"/>
                  </m:rPr>
                  <w:rPr>
                    <w:rFonts w:ascii="Times New Roman" w:hAnsi="Times New Roman" w:eastAsia="Times New Roman" w:cs="Times New Roman"/>
                  </w:rPr>
                  <m:t>=</m:t>
                </m:r>
                <m:sSub>
                  <m:e>
                    <m:r>
                      <w:rPr>
                        <w:rFonts w:ascii="Times New Roman" w:hAnsi="Times New Roman" w:eastAsia="Times New Roman" w:cs="Times New Roman"/>
                      </w:rPr>
                      <m:t>A</m:t>
                    </m:r>
                  </m:e>
                  <m:sub>
                    <m:r>
                      <w:rPr>
                        <w:rFonts w:ascii="Times New Roman" w:hAnsi="Times New Roman" w:eastAsia="Times New Roman" w:cs="Times New Roman"/>
                      </w:rPr>
                      <m:t>K</m:t>
                    </m:r>
                  </m:sub>
                </m:sSub>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B</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ξ</m:t>
                    </m:r>
                  </m:sub>
                </m:sSub>
                <m:r>
                  <m:rPr>
                    <m:sty m:val="p"/>
                  </m:rPr>
                  <w:rPr>
                    <w:rFonts w:ascii="Times New Roman" w:hAnsi="Times New Roman" w:eastAsia="Times New Roman" w:cs="Times New Roman"/>
                  </w:rPr>
                  <m:t>(</m:t>
                </m:r>
                <m:r>
                  <w:rPr>
                    <w:rFonts w:ascii="Times New Roman" w:hAnsi="Times New Roman" w:eastAsia="Times New Roman" w:cs="Times New Roman"/>
                  </w:rPr>
                  <m:t>ξ</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lists the measurement, constraint, GP, QP, fallback, and runtime settings used in the benchmark and plant implementation.</w:t>
      </w:r>
    </w:p>
    <w:p>
      <w:pPr>
        <w:jc w:val="left"/>
        <w:spacing w:before="80" w:after="120"/>
        <w:keepLines/>
      </w:pPr>
      <w:r>
        <w:rPr>
          <w:rFonts w:ascii="Times New Roman" w:hAnsi="Times New Roman" w:eastAsia="Times New Roman" w:cs="Times New Roman"/>
          <w:sz w:val="20"/>
          <w:szCs w:val="20"/>
          <w:b/>
          <w:bCs/>
        </w:rPr>
        <w:t xml:space="preserve">Table 1. </w:t>
      </w:r>
      <w:r>
        <w:rPr>
          <w:rFonts w:ascii="Times New Roman" w:hAnsi="Times New Roman" w:eastAsia="Times New Roman" w:cs="Times New Roman"/>
          <w:sz w:val="20"/>
          <w:szCs w:val="20"/>
        </w:rPr>
        <w:t xml:space="preserve">Measurement/control variables and implementation settings used by the RoCBF-SF safety filter in the fifth-order CCS benchmark and plant implementation.</w:t>
      </w:r>
    </w:p>
    <w:tbl>
      <w:tblPr>
        <w:tblStyle w:val="Table"/>
        <w:tblW w:type="dxa" w:w="8500"/>
        <w:tblLook w:firstRow="1" w:lastRow="0" w:firstColumn="0" w:lastColumn="0" w:noHBand="0" w:noVBand="0" w:val="0020"/>
        <w:tblCaption w:val="Table 1. Measurement/control variables and implementation settings used by the RoCBF-SF safety filter in the fifth-order CCS benchmark and plant implementati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state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State vector</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sSub>
                <m:e>
                  <m:r>
                    <w:rPr>
                      <w:rFonts w:ascii="Times New Roman" w:hAnsi="Times New Roman" w:eastAsia="Times New Roman" w:cs="Times New Roman"/>
                    </w:rPr>
                    <m:t>τ</m:t>
                  </m:r>
                </m:e>
                <m:sub>
                  <m:r>
                    <w:rPr>
                      <w:rFonts w:ascii="Times New Roman" w:hAnsi="Times New Roman" w:eastAsia="Times New Roman" w:cs="Times New Roman"/>
                    </w:rPr>
                    <m:t>f</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Five-state nominal predictor used to construct the benchmark dynamics and HOCBF rows.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input/output</w:t>
            </w:r>
          </w:p>
        </w:tc>
        <w:tc>
          <w:tcPr>
            <w:tcW w:w="2200" w:type="dxa"/>
            <w:tcBorders>
              <w:top w:val="nil"/>
              <w:bottom w:val="nil"/>
              <w:left w:val="nil"/>
              <w:right w:val="nil"/>
              <w:insideH w:val="nil"/>
              <w:insideV w:val="nil"/>
            </w:tcBorders>
          </w:tcPr>
          <w:p>
            <w:pPr>
              <w:pStyle w:val="13"/>
              <w:jc w:val="left"/>
            </w:pPr>
            <m:oMath>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k</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Measured constrained outputs used by both benchmark and plant GPs; all five states and three proposed controls remain inputs to the nominal one-step predictor.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Input vector</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u</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D</m:t>
                  </m:r>
                </m:e>
                <m:sub>
                  <m:r>
                    <w:rPr>
                      <w:rFonts w:ascii="Times New Roman" w:hAnsi="Times New Roman" w:eastAsia="Times New Roman" w:cs="Times New Roman"/>
                    </w:rPr>
                    <m:t>f</m:t>
                  </m:r>
                  <m:r>
                    <w:rPr>
                      <w:rFonts w:ascii="Times New Roman" w:hAnsi="Times New Roman" w:eastAsia="Times New Roman" w:cs="Times New Roman"/>
                    </w:rPr>
                    <m:t>w</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t</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Coal feed, feedwater flow, and turbine valve opening; QP optimizes the deviation command</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v</m:t>
              </m:r>
            </m:oMath>
            <w:r>
              <w:rPr>
                <w:rFonts w:ascii="Times New Roman" w:hAnsi="Times New Roman" w:eastAsia="Times New Roman" w:cs="Times New Roman"/>
                <w:sz w:val="18"/>
                <w:szCs w:val="18"/>
              </w:rPr>
              <w:t xml:space="preserv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Pressure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13–24 MPa;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ψ</m:t>
              </m:r>
            </m:oMath>
            <w:r>
              <w:rPr>
                <w:rFonts w:ascii="Times New Roman" w:hAnsi="Times New Roman" w:eastAsia="Times New Roman" w:cs="Times New Roman"/>
                <w:sz w:val="18"/>
                <w:szCs w:val="18"/>
              </w:rPr>
              <w:t xml:space="preserve">-levels.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Enthalpy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2670–2830 kJ/kg;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Active heat-absorption safety constraint.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Power tracking band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oMath>
            <w:r>
              <w:rPr>
                <w:rFonts w:ascii="Times New Roman" w:hAnsi="Times New Roman" w:eastAsia="Times New Roman" w:cs="Times New Roman"/>
                <w:sz w:val="18"/>
                <w:szCs w:val="18"/>
              </w:rPr>
              <w:t xml:space="preserve"> MW;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Load-following and turbine-output safety constraint around the active dispatch target.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T</m:t>
                  </m:r>
                </m:e>
                <m:sub>
                  <m:r>
                    <w:rPr>
                      <w:rFonts w:ascii="Times New Roman" w:hAnsi="Times New Roman" w:eastAsia="Times New Roman" w:cs="Times New Roman"/>
                    </w:rPr>
                    <m:t>s</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18"/>
                <w:szCs w:val="18"/>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 QP solved once per controller cycle; plant-validation exports use 5 s record spacing.</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Three 500-point Matérn-5 of 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Learns pressure, enthalpy, and power residual-rate means and posterior uncertainties; 200 time-isolated points are retained for validation.</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qpax, row scaling, box/rate constraints,</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Projects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the nearest admissible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rejects non-converged or infeasible candidates.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One guarded</w:t>
            </w:r>
            <w:r>
              <w:rPr>
                <w:rFonts w:ascii="Times New Roman" w:hAnsi="Times New Roman" w:eastAsia="Times New Roman" w:cs="Times New Roman"/>
                <w:sz w:val="18"/>
                <w:szCs w:val="18"/>
              </w:rPr>
              <w:t xml:space="preserve"> </w:t>
            </w:r>
            <w:r>
              <w:rPr>
                <w:rFonts w:ascii="Times New Roman" w:hAnsi="Times New Roman" w:eastAsia="Times New Roman" w:cs="Times New Roman"/>
                <w:rStyle w:val="VerbatimChar"/>
                <w:sz w:val="18"/>
                <w:szCs w:val="18"/>
              </w:rPr>
              <w:t xml:space="preserve">pressure_low</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The guarded retry is outside the full-row certificate; actuator rows are never removed.</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Field exports report QP and total-task timing against the deployed deadline.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AMD EPYC Embedded 4565P; 64 GB (2</w:t>
            </w:r>
            <w:r>
              <w:rPr>
                <w:rFonts w:ascii="Times New Roman" w:hAnsi="Times New Roman" w:eastAsia="Times New Roman" w:cs="Times New Roman"/>
                <w:sz w:val="18"/>
                <w:szCs w:val="18"/>
              </w:rPr>
              <w:t>×</w:t>
            </w:r>
            <w:r>
              <w:rPr>
                <w:rFonts w:ascii="Times New Roman" w:hAnsi="Times New Roman" w:eastAsia="Times New Roman" w:cs="Times New Roman"/>
                <w:sz w:val="18"/>
                <w:szCs w:val="18"/>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Deployed controller compute platform; data exchange with the DCS uses Modbus TCP.</w:t>
            </w:r>
          </w:p>
        </w:tc>
      </w:tr>
      <w:t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x</m:t>
            </m:r>
          </m:e>
          <m:sub>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Build mean-corrected HOCBF constraints with the correct relative degree.</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arg min</m:t>
                    </m:r>
                  </m:e>
                  <m:sub>
                    <m:r>
                      <w:rPr>
                        <w:rFonts w:ascii="Times New Roman" w:hAnsi="Times New Roman" w:eastAsia="Times New Roman" w:cs="Times New Roman"/>
                      </w:rPr>
                      <m:t>v</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sSubSup>
                  <m:e>
                    <m:r>
                      <m:rPr>
                        <m:sty m:val="p"/>
                      </m:rPr>
                      <w:rPr>
                        <w:rFonts w:ascii="Times New Roman" w:hAnsi="Times New Roman" w:eastAsia="Times New Roman" w:cs="Times New Roman"/>
                      </w:rPr>
                      <m:t>∥</m:t>
                    </m:r>
                  </m:e>
                  <m:sub>
                    <m:r>
                      <w:rPr>
                        <w:rFonts w:ascii="Times New Roman" w:hAnsi="Times New Roman" w:eastAsia="Times New Roman" w:cs="Times New Roman"/>
                      </w:rPr>
                      <m:t>2</m:t>
                    </m:r>
                  </m:sub>
                  <m:sup>
                    <m:r>
                      <w:rPr>
                        <w:rFonts w:ascii="Times New Roman" w:hAnsi="Times New Roman" w:eastAsia="Times New Roman" w:cs="Times New Roman"/>
                      </w:rPr>
                      <m:t>2</m:t>
                    </m:r>
                  </m:sup>
                </m:sSubSup>
                <m:r>
                  <w:rPr>
                    <w:rFonts w:ascii="Times New Roman" w:hAnsi="Times New Roman" w:eastAsia="Times New Roman" w:cs="Times New Roman"/>
                  </w:rPr>
                  <m:t> </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A</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rPr>
        <w:t xml:space="preserve">Notation summary.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benchmark state 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sSub>
          <m:e>
            <m:r>
              <w:rPr>
                <w:rFonts w:ascii="Times New Roman" w:hAnsi="Times New Roman" w:eastAsia="Times New Roman" w:cs="Times New Roman"/>
              </w:rPr>
              <m:t>τ</m:t>
            </m:r>
          </m:e>
          <m:sub>
            <m:r>
              <w:rPr>
                <w:rFonts w:ascii="Times New Roman" w:hAnsi="Times New Roman" w:eastAsia="Times New Roman" w:cs="Times New Roman"/>
              </w:rPr>
              <m:t>f</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state. The physical actuator command 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u</m:t>
        </m:r>
      </m:oMath>
      <w:r>
        <w:rPr>
          <w:rFonts w:ascii="Times New Roman" w:hAnsi="Times New Roman" w:eastAsia="Times New Roman" w:cs="Times New Roman"/>
          <w:sz w:val="20"/>
          <w:szCs w:val="20"/>
        </w:rPr>
        <w:t xml:space="preserve">, while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input optimized by the safety filter. The upstream controller proposes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the QP returns</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and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maps</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back to the physical actuator command. The GP-mean-corrected HOCBF rows are written as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deviation-input form;</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reserved for the no-GP nominal-model ablation. The term</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compositional GP-HOCBF margin,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commissioning factor multiplying that margin.</w:t>
      </w:r>
    </w:p>
    <w:p>
      <w:pPr>
        <w:pStyle w:val="3"/>
        <w:jc w:val="left"/>
        <w:ind w:firstLine="420"/>
      </w:pPr>
      <w:r>
        <w:rPr>
          <w:rFonts w:ascii="Times New Roman" w:hAnsi="Times New Roman" w:eastAsia="Times New Roman" w:cs="Times New Roman"/>
          <w:sz w:val="20"/>
          <w:szCs w:val="20"/>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k</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(4)</w:t>
            </w:r>
          </w:p>
        </w:tc>
      </w:tr>
    </w:tbl>
    <w:p>
      <w:pPr>
        <w:pStyle w:val="11"/>
        <w:jc w:val="left"/>
        <w:ind w:firstLine="420"/>
      </w:pPr>
      <w:r>
        <w:rPr>
          <w:rFonts w:ascii="Times New Roman" w:hAnsi="Times New Roman" w:eastAsia="Times New Roman" w:cs="Times New Roman"/>
          <w:sz w:val="20"/>
          <w:szCs w:val="20"/>
        </w:rPr>
        <w:t xml:space="preserve">Three independent GPs model the corresponding one-step nominal-model residual rates. The benchmark target is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x</m:t>
                </m:r>
              </m:e>
            </m:acc>
          </m:e>
          <m:sub>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sub>
          <m:sup>
            <m:r>
              <m:rPr>
                <m:sty m:val="p"/>
              </m:rPr>
              <w:rPr>
                <w:rFonts w:ascii="Times New Roman" w:hAnsi="Times New Roman" w:eastAsia="Times New Roman" w:cs="Times New Roman"/>
              </w:rPr>
              <m:t>n</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T</m:t>
            </m:r>
          </m:e>
          <m:sub>
            <m:r>
              <w:rPr>
                <w:rFonts w:ascii="Times New Roman" w:hAnsi="Times New Roman" w:eastAsia="Times New Roman" w:cs="Times New Roman"/>
              </w:rPr>
              <m:t>s</m:t>
            </m:r>
          </m:sub>
        </m:sSub>
      </m: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full nominal predictor uses all five states and all three control deviations; fuel, feedwater, and turbine-valve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rPr>
        <w:t xml:space="preserve">Operating-point interpretation.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denotes the complete safety-filter design in Fig.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mean correction alone,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full implemented margin, and Section </w:t>
      </w:r>
      <w:r>
        <w:rPr>
          <w:rFonts w:ascii="Times New Roman" w:hAnsi="Times New Roman" w:eastAsia="Times New Roman" w:cs="Times New Roman"/>
          <w:sz w:val="20"/>
          <w:szCs w:val="20"/>
        </w:rPr>
        <w:t xml:space="preserve">4.3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x</m:t>
                    </m:r>
                  </m:e>
                </m:acc>
                <m:r>
                  <m:rPr>
                    <m:sty m:val="p"/>
                  </m:rPr>
                  <w:rPr>
                    <w:rFonts w:ascii="Times New Roman" w:hAnsi="Times New Roman" w:eastAsia="Times New Roman" w:cs="Times New Roman"/>
                  </w:rPr>
                  <m:t>=</m:t>
                </m:r>
                <m:limLow>
                  <m:e>
                    <m:limLow>
                      <m:e>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u</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nominal</m:t>
                    </m:r>
                  </m:lim>
                </m:limLow>
                <m:r>
                  <m:rPr>
                    <m:sty m:val="p"/>
                  </m:rPr>
                  <w:rPr>
                    <w:rFonts w:ascii="Times New Roman" w:hAnsi="Times New Roman" w:eastAsia="Times New Roman" w:cs="Times New Roman"/>
                  </w:rPr>
                  <m:t>+</m:t>
                </m:r>
                <m:limLow>
                  <m:e>
                    <m:limLow>
                      <m:e>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residual</m:t>
                    </m:r>
                  </m:lim>
                </m:limLow>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n</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m</m:t>
                    </m:r>
                  </m:sup>
                </m:sSup>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f</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rPr>
        <w:t xml:space="preserve">The six scalar safety barriers used in the benchmark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h</m:t>
                        </m:r>
                      </m:e>
                      <m:sub>
                        <m: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13</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24</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e>
                  <m:e>
                    <m:sSub>
                      <m:e>
                        <m:r>
                          <w:rPr>
                            <w:rFonts w:ascii="Times New Roman" w:hAnsi="Times New Roman" w:eastAsia="Times New Roman" w:cs="Times New Roman"/>
                          </w:rPr>
                          <m:t>h</m:t>
                        </m:r>
                      </m:e>
                      <m:sub>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2670</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2830</m:t>
                    </m:r>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e>
                  <m:e>
                    <m:sSub>
                      <m:e>
                        <m:r>
                          <w:rPr>
                            <w:rFonts w:ascii="Times New Roman" w:hAnsi="Times New Roman" w:eastAsia="Times New Roman" w:cs="Times New Roman"/>
                          </w:rPr>
                          <m:t>h</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(6)</w:t>
            </w:r>
          </w:p>
        </w:tc>
      </w:tr>
    </w:tbl>
    <w:p>
      <w:pPr>
        <w:pStyle w:val="11"/>
        <w:jc w:val="left"/>
        <w:ind w:firstLine="420"/>
      </w:pPr>
      <w:r>
        <w:rPr>
          <w:rFonts w:ascii="Times New Roman" w:hAnsi="Times New Roman" w:eastAsia="Times New Roman" w:cs="Times New Roman"/>
          <w:sz w:val="20"/>
          <w:szCs w:val="20"/>
        </w:rPr>
        <w:t xml:space="preserve">Pressure barriers use relative degree two, while separator-enthalpy and power barriers use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ψ</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m</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(7)</w:t>
            </w:r>
          </w:p>
        </w:tc>
      </w:tr>
    </w:tbl>
    <w:p>
      <w:pPr>
        <w:pStyle w:val="11"/>
        <w:jc w:val="left"/>
        <w:ind w:firstLine="420"/>
      </w:pPr>
      <w:r>
        <w:rPr>
          <w:rFonts w:ascii="Times New Roman" w:hAnsi="Times New Roman" w:eastAsia="Times New Roman" w:cs="Times New Roman"/>
          <w:sz w:val="20"/>
          <w:szCs w:val="20"/>
        </w:rPr>
        <w:t xml:space="preserve">For the six barriers indexed by</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c</m:t>
        </m:r>
      </m:oMath>
      <w:r>
        <w:rPr>
          <w:rFonts w:ascii="Times New Roman" w:hAnsi="Times New Roman" w:eastAsia="Times New Roman" w:cs="Times New Roman"/>
          <w:sz w:val="20"/>
          <w:szCs w:val="20"/>
        </w:rPr>
        <w:t xml:space="preserve">, with relative degree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m</m:t>
            </m:r>
          </m:e>
          <m:sub>
            <m:r>
              <w:rPr>
                <w:rFonts w:ascii="Times New Roman" w:hAnsi="Times New Roman" w:eastAsia="Times New Roman" w:cs="Times New Roman"/>
              </w:rPr>
              <m:t>c</m:t>
            </m:r>
          </m:sub>
        </m:sSub>
      </m:oMath>
      <w:r>
        <w:rPr>
          <w:rFonts w:ascii="Times New Roman" w:hAnsi="Times New Roman" w:eastAsia="Times New Roman" w:cs="Times New Roman"/>
          <w:sz w:val="20"/>
          <w:szCs w:val="20"/>
        </w:rPr>
        <w:t xml:space="preserve">, define the recursive HOCBF admissible set under the true dynamics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m:rPr>
                        <m:scr m:val="script"/>
                        <m:sty m:val="p"/>
                      </m:rPr>
                      <w:rPr>
                        <w:rFonts w:ascii="Times New Roman" w:hAnsi="Times New Roman" w:eastAsia="Times New Roman" w:cs="Times New Roman"/>
                      </w:rPr>
                      <m:t>C</m:t>
                    </m:r>
                  </m:e>
                  <m:sub>
                    <m:r>
                      <w:rPr>
                        <w:rFonts w:ascii="Times New Roman" w:hAnsi="Times New Roman" w:eastAsia="Times New Roman" w:cs="Times New Roman"/>
                      </w:rPr>
                      <m:t>c</m:t>
                    </m:r>
                    <m:r>
                      <m:rPr>
                        <m:sty m:val="p"/>
                      </m:rPr>
                      <w:rPr>
                        <w:rFonts w:ascii="Times New Roman" w:hAnsi="Times New Roman" w:eastAsia="Times New Roman" w:cs="Times New Roman"/>
                      </w:rPr>
                      <m:t>,</m:t>
                    </m:r>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Sup>
                  <m:e>
                    <m:r>
                      <w:rPr>
                        <w:rFonts w:ascii="Times New Roman" w:hAnsi="Times New Roman" w:eastAsia="Times New Roman" w:cs="Times New Roman"/>
                      </w:rPr>
                      <m:t>ψ</m:t>
                    </m:r>
                  </m:e>
                  <m:sub>
                    <m:r>
                      <w:rPr>
                        <w:rFonts w:ascii="Times New Roman" w:hAnsi="Times New Roman" w:eastAsia="Times New Roman" w:cs="Times New Roman"/>
                      </w:rPr>
                      <m:t>c</m:t>
                    </m:r>
                    <m:r>
                      <m:rPr>
                        <m:sty m:val="p"/>
                      </m:rPr>
                      <w:rPr>
                        <w:rFonts w:ascii="Times New Roman" w:hAnsi="Times New Roman" w:eastAsia="Times New Roman" w:cs="Times New Roman"/>
                      </w:rPr>
                      <m:t>,</m:t>
                    </m:r>
                    <m:r>
                      <w:rPr>
                        <w:rFonts w:ascii="Times New Roman" w:hAnsi="Times New Roman" w:eastAsia="Times New Roman" w:cs="Times New Roman"/>
                      </w:rPr>
                      <m:t>i</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u</m:t>
                    </m:r>
                    <m:r>
                      <m:rPr>
                        <m:sty m:val="p"/>
                      </m:rPr>
                      <w:rPr>
                        <w:rFonts w:ascii="Times New Roman" w:hAnsi="Times New Roman" w:eastAsia="Times New Roman" w:cs="Times New Roman"/>
                      </w:rPr>
                      <m:t>e</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0</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m</m:t>
                    </m:r>
                  </m:e>
                  <m:sub>
                    <m:r>
                      <w:rPr>
                        <w:rFonts w:ascii="Times New Roman" w:hAnsi="Times New Roman" w:eastAsia="Times New Roman" w:cs="Times New Roman"/>
                      </w:rPr>
                      <m:t>c</m:t>
                    </m:r>
                  </m:sub>
                </m:sSub>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  </m:t>
                </m:r>
                <m:r>
                  <m:rPr>
                    <m:scr m:val="script"/>
                    <m:sty m:val="p"/>
                  </m:rPr>
                  <w:rPr>
                    <w:rFonts w:ascii="Times New Roman" w:hAnsi="Times New Roman" w:eastAsia="Times New Roman" w:cs="Times New Roman"/>
                  </w:rPr>
                  <m:t>C</m:t>
                </m:r>
                <m:r>
                  <m:rPr>
                    <m:sty m:val="p"/>
                  </m:rPr>
                  <w:rPr>
                    <w:rFonts w:ascii="Times New Roman" w:hAnsi="Times New Roman" w:eastAsia="Times New Roman" w:cs="Times New Roman"/>
                  </w:rPr>
                  <m:t>=</m:t>
                </m:r>
                <m:limLow>
                  <m:e>
                    <m:limUpp>
                      <m:e>
                        <m:r>
                          <m:rPr>
                            <m:sty m:val="p"/>
                          </m:rPr>
                          <w:rPr>
                            <w:rFonts w:ascii="Times New Roman" w:hAnsi="Times New Roman" w:eastAsia="Times New Roman" w:cs="Times New Roman"/>
                          </w:rPr>
                          <m:t>⋂</m:t>
                        </m:r>
                      </m:e>
                      <m:lim>
                        <m:r>
                          <w:rPr>
                            <w:rFonts w:ascii="Times New Roman" w:hAnsi="Times New Roman" w:eastAsia="Times New Roman" w:cs="Times New Roman"/>
                          </w:rPr>
                          <m:t>6</m:t>
                        </m:r>
                      </m:lim>
                    </m:limUpp>
                  </m:e>
                  <m:lim>
                    <m:r>
                      <w:rPr>
                        <w:rFonts w:ascii="Times New Roman" w:hAnsi="Times New Roman" w:eastAsia="Times New Roman" w:cs="Times New Roman"/>
                      </w:rPr>
                      <m:t>c</m:t>
                    </m:r>
                    <m:r>
                      <m:rPr>
                        <m:sty m:val="p"/>
                      </m:rPr>
                      <w:rPr>
                        <w:rFonts w:ascii="Times New Roman" w:hAnsi="Times New Roman" w:eastAsia="Times New Roman" w:cs="Times New Roman"/>
                      </w:rPr>
                      <m:t>=</m:t>
                    </m:r>
                    <m:r>
                      <w:rPr>
                        <w:rFonts w:ascii="Times New Roman" w:hAnsi="Times New Roman" w:eastAsia="Times New Roman" w:cs="Times New Roman"/>
                      </w:rPr>
                      <m:t>1</m:t>
                    </m:r>
                  </m:lim>
                </m:limLow>
                <m:limLow>
                  <m:e>
                    <m:limUpp>
                      <m:e>
                        <m:r>
                          <m:rPr>
                            <m:sty m:val="p"/>
                          </m:rPr>
                          <w:rPr>
                            <w:rFonts w:ascii="Times New Roman" w:hAnsi="Times New Roman" w:eastAsia="Times New Roman" w:cs="Times New Roman"/>
                          </w:rPr>
                          <m:t>⋂</m:t>
                        </m:r>
                      </m:e>
                      <m:lim>
                        <m:sSub>
                          <m:e>
                            <m:r>
                              <w:rPr>
                                <w:rFonts w:ascii="Times New Roman" w:hAnsi="Times New Roman" w:eastAsia="Times New Roman" w:cs="Times New Roman"/>
                              </w:rPr>
                              <m:t>m</m:t>
                            </m:r>
                          </m:e>
                          <m:sub>
                            <m:r>
                              <w:rPr>
                                <w:rFonts w:ascii="Times New Roman" w:hAnsi="Times New Roman" w:eastAsia="Times New Roman" w:cs="Times New Roman"/>
                              </w:rPr>
                              <m:t>c</m:t>
                            </m:r>
                          </m:sub>
                        </m:sSub>
                        <m:r>
                          <m:rPr>
                            <m:sty m:val="p"/>
                          </m:rPr>
                          <w:rPr>
                            <w:rFonts w:ascii="Times New Roman" w:hAnsi="Times New Roman" w:eastAsia="Times New Roman" w:cs="Times New Roman"/>
                          </w:rPr>
                          <m:t>−</m:t>
                        </m:r>
                        <m:r>
                          <w:rPr>
                            <w:rFonts w:ascii="Times New Roman" w:hAnsi="Times New Roman" w:eastAsia="Times New Roman" w:cs="Times New Roman"/>
                          </w:rPr>
                          <m:t>1</m:t>
                        </m:r>
                      </m:lim>
                    </m:limUpp>
                  </m:e>
                  <m:lim>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0</m:t>
                    </m:r>
                  </m:lim>
                </m:limLow>
                <m:sSub>
                  <m:e>
                    <m:r>
                      <m:rPr>
                        <m:scr m:val="script"/>
                        <m:sty m:val="p"/>
                      </m:rPr>
                      <w:rPr>
                        <w:rFonts w:ascii="Times New Roman" w:hAnsi="Times New Roman" w:eastAsia="Times New Roman" w:cs="Times New Roman"/>
                      </w:rPr>
                      <m:t>C</m:t>
                    </m:r>
                  </m:e>
                  <m:sub>
                    <m:r>
                      <w:rPr>
                        <w:rFonts w:ascii="Times New Roman" w:hAnsi="Times New Roman" w:eastAsia="Times New Roman" w:cs="Times New Roman"/>
                      </w:rPr>
                      <m:t>c</m:t>
                    </m:r>
                    <m:r>
                      <m:rPr>
                        <m:sty m:val="p"/>
                      </m:rPr>
                      <w:rPr>
                        <w:rFonts w:ascii="Times New Roman" w:hAnsi="Times New Roman" w:eastAsia="Times New Roman" w:cs="Times New Roman"/>
                      </w:rPr>
                      <m:t>,</m:t>
                    </m:r>
                    <m:r>
                      <w:rPr>
                        <w:rFonts w:ascii="Times New Roman" w:hAnsi="Times New Roman" w:eastAsia="Times New Roman" w:cs="Times New Roman"/>
                      </w:rPr>
                      <m:t>i</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(8)</w:t>
            </w:r>
          </w:p>
        </w:tc>
      </w:tr>
    </w:tbl>
    <w:p>
      <w:pPr>
        <w:pStyle w:val="11"/>
        <w:jc w:val="left"/>
        <w:ind w:firstLine="420"/>
      </w:pPr>
      <w:r>
        <w:rPr>
          <w:rFonts w:ascii="Times New Roman" w:hAnsi="Times New Roman" w:eastAsia="Times New Roman" w:cs="Times New Roman"/>
          <w:sz w:val="20"/>
          <w:szCs w:val="20"/>
        </w:rPr>
        <w:t xml:space="preserve">With linear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r</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w:rPr>
            <w:rFonts w:ascii="Times New Roman" w:hAnsi="Times New Roman" w:eastAsia="Times New Roman" w:cs="Times New Roman"/>
          </w:rPr>
          <m:t>r</m:t>
        </m:r>
      </m:oMath>
      <w:r>
        <w:rPr>
          <w:rFonts w:ascii="Times New Roman" w:hAnsi="Times New Roman" w:eastAsia="Times New Roman" w:cs="Times New Roman"/>
          <w:sz w:val="20"/>
          <w:szCs w:val="20"/>
        </w:rPr>
        <w:t xml:space="preserve">, substituting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into the stabilized model gives a top-level affine row. For the GP-mean-corrected drift</w:t>
      </w:r>
      <w:r>
        <w:rPr>
          <w:rFonts w:ascii="Times New Roman" w:hAnsi="Times New Roman" w:eastAsia="Times New Roman" w:cs="Times New Roman"/>
          <w:sz w:val="20"/>
          <w:szCs w:val="20"/>
        </w:rPr>
        <w:t xml:space="preserve"> </w:t>
      </w:r>
      <m:oMath>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this row is defined by</w:t>
      </w:r>
      <w:r>
        <w:rPr>
          <w:rFonts w:ascii="Times New Roman" w:hAnsi="Times New Roman" w:eastAsia="Times New Roman" w:cs="Times New Roman"/>
          <w:sz w:val="20"/>
          <w:szCs w:val="20"/>
        </w:rPr>
        <w:t xml:space="preserve"> </w:t>
      </w:r>
      <m:oMath>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c</m:t>
            </m:r>
            <m:r>
              <m:rPr>
                <m:sty m:val="p"/>
              </m:rPr>
              <w:rPr>
                <w:rFonts w:ascii="Times New Roman" w:hAnsi="Times New Roman" w:eastAsia="Times New Roman" w:cs="Times New Roman"/>
              </w:rPr>
              <m:t>,</m:t>
            </m:r>
            <m:sSub>
              <m:e>
                <m:r>
                  <w:rPr>
                    <w:rFonts w:ascii="Times New Roman" w:hAnsi="Times New Roman" w:eastAsia="Times New Roman" w:cs="Times New Roman"/>
                  </w:rPr>
                  <m:t>m</m:t>
                </m:r>
              </m:e>
              <m:sub>
                <m:r>
                  <w:rPr>
                    <w:rFonts w:ascii="Times New Roman" w:hAnsi="Times New Roman" w:eastAsia="Times New Roman" w:cs="Times New Roman"/>
                  </w:rPr>
                  <m:t>c</m:t>
                </m:r>
              </m:sub>
            </m:sSub>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c</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A</m:t>
            </m:r>
          </m:e>
          <m:sub>
            <m:r>
              <w:rPr>
                <w:rFonts w:ascii="Times New Roman" w:hAnsi="Times New Roman" w:eastAsia="Times New Roman" w:cs="Times New Roman"/>
              </w:rPr>
              <m:t>c</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is stacked as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Applying the same construction to</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f</m:t>
            </m:r>
          </m:e>
          <m:sub>
            <m:r>
              <w:rPr>
                <w:rFonts w:ascii="Times New Roman" w:hAnsi="Times New Roman" w:eastAsia="Times New Roman" w:cs="Times New Roman"/>
              </w:rPr>
              <m:t>0</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without GP correction gives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which is used only for the no-GP ablation. This convention preserves the bookkeeping between pressure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and enthalpy/power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constraints while keeping the QP decision variable equal to</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oMath>
      <w:r>
        <w:rPr>
          <w:rFonts w:ascii="Times New Roman" w:hAnsi="Times New Roman" w:eastAsia="Times New Roman" w:cs="Times New Roman"/>
          <w:sz w:val="20"/>
          <w:szCs w:val="20"/>
        </w:rPr>
        <w:t xml:space="preserve">.</w:t>
      </w:r>
    </w:p>
    <w:p>
      <w:pPr>
        <w:jc w:val="center"/>
        <w:keepNext/>
      </w:pPr>
      <w:r>
        <w:rPr>
          <w:rFonts w:ascii="Times New Roman" w:hAnsi="Times New Roman" w:eastAsia="Times New Roman" w:cs="Times New Roman"/>
          <w:sz w:val="20"/>
          <w:szCs w:val="20"/>
        </w:rPr>
        <w:drawing>
          <wp:inline>
            <wp:extent cx="5270500" cy="2530763"/>
            <wp:effectExtent b="0" l="0" r="0" t="0"/>
            <wp:docPr descr="" title="" id="33" name="Picture"/>
            <a:graphic>
              <a:graphicData uri="http://schemas.openxmlformats.org/drawingml/2006/picture">
                <pic:pic>
                  <pic:nvPicPr>
                    <pic:cNvPr descr="figures/Figure_1.png" id="34" name="Picture"/>
                    <pic:cNvPicPr>
                      <a:picLocks noChangeArrowheads="1" noChangeAspect="1"/>
                    </pic:cNvPicPr>
                  </pic:nvPicPr>
                  <pic:blipFill>
                    <a:blip r:embed="rId32"/>
                    <a:stretch>
                      <a:fillRect/>
                    </a:stretch>
                  </pic:blipFill>
                  <pic:spPr bwMode="auto">
                    <a:xfrm>
                      <a:off x="0" y="0"/>
                      <a:ext cx="5270500" cy="2530763"/>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the selected margin through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physical actuator command is then reconstructed 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rPr>
        <w:t xml:space="preserve">Each modeled component of</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j</m:t>
            </m:r>
          </m:sub>
        </m:sSub>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j</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is represented by an independent GP with a Matérn-5/2 kernel. Kernel distances use the frozen training transform</w:t>
      </w:r>
      <w:r>
        <w:rPr>
          <w:rFonts w:ascii="Times New Roman" w:hAnsi="Times New Roman" w:eastAsia="Times New Roman" w:cs="Times New Roman"/>
          <w:sz w:val="20"/>
          <w:szCs w:val="20"/>
        </w:rPr>
        <w:t xml:space="preserve"> </w:t>
      </w:r>
      <m:oMath>
        <m:sSub>
          <m:e>
            <m:acc>
              <m:accPr>
                <m:chr m:val="̃"/>
              </m:accPr>
              <m:e>
                <m:r>
                  <w:rPr>
                    <w:rFonts w:ascii="Times New Roman" w:hAnsi="Times New Roman" w:eastAsia="Times New Roman" w:cs="Times New Roman"/>
                  </w:rPr>
                  <m:t>x</m:t>
                </m:r>
              </m:e>
            </m:acc>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r>
              <w:rPr>
                <w:rFonts w:ascii="Times New Roman" w:hAnsi="Times New Roman" w:eastAsia="Times New Roman" w:cs="Times New Roman"/>
              </w:rPr>
              <m:t>μ</m:t>
            </m:r>
          </m:e>
          <m:sub>
            <m:sSub>
              <m:e>
                <m:r>
                  <w:rPr>
                    <w:rFonts w:ascii="Times New Roman" w:hAnsi="Times New Roman" w:eastAsia="Times New Roman" w:cs="Times New Roman"/>
                  </w:rPr>
                  <m:t>x</m:t>
                </m:r>
              </m:e>
              <m:sub>
                <m:r>
                  <w:rPr>
                    <w:rFonts w:ascii="Times New Roman" w:hAnsi="Times New Roman" w:eastAsia="Times New Roman" w:cs="Times New Roman"/>
                  </w:rPr>
                  <m:t>i</m:t>
                </m:r>
              </m:sub>
            </m:sSub>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s</m:t>
            </m:r>
          </m:e>
          <m:sub>
            <m:sSub>
              <m:e>
                <m:r>
                  <w:rPr>
                    <w:rFonts w:ascii="Times New Roman" w:hAnsi="Times New Roman" w:eastAsia="Times New Roman" w:cs="Times New Roman"/>
                  </w:rPr>
                  <m:t>x</m:t>
                </m:r>
              </m:e>
              <m:sub>
                <m:r>
                  <w:rPr>
                    <w:rFonts w:ascii="Times New Roman" w:hAnsi="Times New Roman" w:eastAsia="Times New Roman" w:cs="Times New Roman"/>
                  </w:rPr>
                  <m:t>i</m:t>
                </m:r>
              </m:sub>
            </m:sSub>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oMath>
      <w:r>
        <w:rPr>
          <w:rFonts w:ascii="Times New Roman" w:hAnsi="Times New Roman" w:eastAsia="Times New Roman" w:cs="Times New Roman"/>
          <w:sz w:val="20"/>
          <w:szCs w:val="20"/>
        </w:rPr>
        <w:t xml:space="preserve">; the standard-deviation floor is</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training points, the posterior provides mean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variance</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up>
            <m:r>
              <w:rPr>
                <w:rFonts w:ascii="Times New Roman" w:hAnsi="Times New Roman" w:eastAsia="Times New Roman" w:cs="Times New Roman"/>
              </w:rPr>
              <m:t>2</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j</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(9)</w:t>
            </w:r>
          </w:p>
        </w:tc>
      </w:tr>
    </w:tbl>
    <w:p>
      <w:pPr>
        <w:pStyle w:val="11"/>
        <w:jc w:val="left"/>
        <w:ind w:firstLine="420"/>
      </w:pPr>
      <w:r>
        <w:rPr>
          <w:rFonts w:ascii="Times New Roman" w:hAnsi="Times New Roman" w:eastAsia="Times New Roman" w:cs="Times New Roman"/>
          <w:sz w:val="20"/>
          <w:szCs w:val="20"/>
        </w:rPr>
        <w:t xml:space="preserve">with joint probability at least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sz w:val="20"/>
          <w:szCs w:val="20"/>
        </w:rPr>
        <w:t xml:space="preserve">. A standard RKHS sufficient multiplier includes both a residual RKHS-norm bound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B</m:t>
            </m:r>
          </m:e>
          <m:sub>
            <m:r>
              <m:rPr>
                <m:sty m:val="p"/>
              </m:rPr>
              <w:rPr>
                <w:rFonts w:ascii="Times New Roman" w:hAnsi="Times New Roman" w:eastAsia="Times New Roman" w:cs="Times New Roman"/>
              </w:rPr>
              <m:t>Δ</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a sub-Gaussian noise scale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R</m:t>
        </m:r>
      </m:oMath>
      <w:r>
        <w:rPr>
          <w:rFonts w:ascii="Times New Roman" w:hAnsi="Times New Roman" w:eastAsia="Times New Roman" w:cs="Times New Roman"/>
          <w:sz w:val="20"/>
          <w:szCs w:val="20"/>
        </w:rPr>
        <w:t xml:space="preserve">, for example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β</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K</m:t>
            </m:r>
            <m:r>
              <m:rPr>
                <m:sty m:val="p"/>
              </m:rPr>
              <w:rPr>
                <w:rFonts w:ascii="Times New Roman" w:hAnsi="Times New Roman" w:eastAsia="Times New Roman" w:cs="Times New Roman"/>
              </w:rPr>
              <m:t>H</m:t>
            </m:r>
            <m:r>
              <m:rPr>
                <m:sty m:val="p"/>
              </m:rPr>
              <w:rPr>
                <w:rFonts w:ascii="Times New Roman" w:hAnsi="Times New Roman" w:eastAsia="Times New Roman" w:cs="Times New Roman"/>
              </w:rPr>
              <m:t>S</m:t>
            </m:r>
          </m:sub>
        </m:sSub>
        <m:r>
          <m:rPr>
            <m:sty m:val="p"/>
          </m:rPr>
          <w:rPr>
            <w:rFonts w:ascii="Times New Roman" w:hAnsi="Times New Roman" w:eastAsia="Times New Roman" w:cs="Times New Roman"/>
          </w:rPr>
          <m:t>=</m:t>
        </m:r>
        <m:sSub>
          <m:e>
            <m:r>
              <w:rPr>
                <w:rFonts w:ascii="Times New Roman" w:hAnsi="Times New Roman" w:eastAsia="Times New Roman" w:cs="Times New Roman"/>
              </w:rPr>
              <m:t>B</m:t>
            </m:r>
          </m:e>
          <m:sub>
            <m:r>
              <m:rPr>
                <m:sty m:val="p"/>
              </m:rPr>
              <w:rPr>
                <w:rFonts w:ascii="Times New Roman" w:hAnsi="Times New Roman" w:eastAsia="Times New Roman" w:cs="Times New Roman"/>
              </w:rPr>
              <m:t>Δ</m:t>
            </m:r>
          </m:sub>
        </m:sSub>
        <m:r>
          <m:rPr>
            <m:sty m:val="p"/>
          </m:rPr>
          <w:rPr>
            <w:rFonts w:ascii="Times New Roman" w:hAnsi="Times New Roman" w:eastAsia="Times New Roman" w:cs="Times New Roman"/>
          </w:rPr>
          <m:t>+</m:t>
        </m:r>
        <m:r>
          <w:rPr>
            <w:rFonts w:ascii="Times New Roman" w:hAnsi="Times New Roman" w:eastAsia="Times New Roman" w:cs="Times New Roman"/>
          </w:rPr>
          <m:t>R</m:t>
        </m:r>
        <m:rad>
          <m:radPr>
            <m:degHide m:val="on"/>
          </m:radPr>
          <m:deg/>
          <m:e>
            <m:r>
              <w:rPr>
                <w:rFonts w:ascii="Times New Roman" w:hAnsi="Times New Roman" w:eastAsia="Times New Roman" w:cs="Times New Roman"/>
              </w:rPr>
              <m:t>2</m:t>
            </m:r>
            <m:r>
              <m:rPr>
                <m:sty m:val="p"/>
              </m:rPr>
              <w:rPr>
                <w:rFonts w:ascii="Times New Roman" w:hAnsi="Times New Roman" w:eastAsia="Times New Roman" w:cs="Times New Roman"/>
              </w:rPr>
              <m:t>(</m:t>
            </m:r>
            <m:sSub>
              <m:e>
                <m:r>
                  <w:rPr>
                    <w:rFonts w:ascii="Times New Roman" w:hAnsi="Times New Roman" w:eastAsia="Times New Roman" w:cs="Times New Roman"/>
                  </w:rPr>
                  <m:t>γ</m:t>
                </m:r>
              </m:e>
              <m:sub>
                <m:r>
                  <w:rPr>
                    <w:rFonts w:ascii="Times New Roman" w:hAnsi="Times New Roman" w:eastAsia="Times New Roman" w:cs="Times New Roman"/>
                  </w:rPr>
                  <m:t>N</m:t>
                </m:r>
              </m:sub>
            </m:sSub>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ln</m:t>
            </m:r>
            <m:r>
              <m:rPr>
                <m:sty m:val="p"/>
              </m:rPr>
              <w:rPr>
                <w:rFonts w:ascii="Times New Roman" w:hAnsi="Times New Roman" w:eastAsia="Times New Roman" w:cs="Times New Roman"/>
              </w:rPr>
              <m:t>(</m:t>
            </m:r>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δ</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rad>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q</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modeled outputs</w:t>
      </w:r>
      <w:r>
        <w:rPr>
          <w:rFonts w:ascii="Times New Roman" w:hAnsi="Times New Roman" w:eastAsia="Times New Roman" w:cs="Times New Roman"/>
          <w:sz w:val="20"/>
          <w:szCs w:val="20"/>
          <w:vertAlign w:val="superscript"/>
        </w:rPr>
        <w:t>34</w:t>
      </w:r>
      <w:r>
        <w:rPr>
          <w:rFonts w:ascii="Times New Roman" w:hAnsi="Times New Roman" w:eastAsia="Times New Roman" w:cs="Times New Roman"/>
          <w:sz w:val="20"/>
          <w:szCs w:val="20"/>
        </w:rPr>
        <w:t xml:space="preserve">. The numerical studies and deployed configuration instead retain the fixed commissioning multiplier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r>
          <m:rPr>
            <m:sty m:val="p"/>
          </m:rPr>
          <w:rPr>
            <w:rFonts w:ascii="Times New Roman" w:hAnsi="Times New Roman" w:eastAsia="Times New Roman" w:cs="Times New Roman"/>
          </w:rPr>
          <m:t>=</m:t>
        </m:r>
        <m:rad>
          <m:radPr>
            <m:degHide m:val="on"/>
          </m:radPr>
          <m:deg/>
          <m:e>
            <m:r>
              <w:rPr>
                <w:rFonts w:ascii="Times New Roman" w:hAnsi="Times New Roman" w:eastAsia="Times New Roman" w:cs="Times New Roman"/>
              </w:rPr>
              <m:t>2</m:t>
            </m:r>
            <m:r>
              <m:rPr>
                <m:sty m:val="p"/>
              </m:rPr>
              <w:rPr>
                <w:rFonts w:ascii="Times New Roman" w:hAnsi="Times New Roman" w:eastAsia="Times New Roman" w:cs="Times New Roman"/>
              </w:rPr>
              <m:t>(</m:t>
            </m:r>
            <m:sSub>
              <m:e>
                <m:r>
                  <w:rPr>
                    <w:rFonts w:ascii="Times New Roman" w:hAnsi="Times New Roman" w:eastAsia="Times New Roman" w:cs="Times New Roman"/>
                  </w:rPr>
                  <m:t>γ</m:t>
                </m:r>
              </m:e>
              <m:sub>
                <m:r>
                  <w:rPr>
                    <w:rFonts w:ascii="Times New Roman" w:hAnsi="Times New Roman" w:eastAsia="Times New Roman" w:cs="Times New Roman"/>
                  </w:rPr>
                  <m:t>N</m:t>
                </m:r>
              </m:sub>
            </m:sSub>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ln</m:t>
            </m:r>
            <m:r>
              <m:rPr>
                <m:sty m:val="p"/>
              </m:rPr>
              <w:rPr>
                <w:rFonts w:ascii="Times New Roman" w:hAnsi="Times New Roman" w:eastAsia="Times New Roman" w:cs="Times New Roman"/>
              </w:rPr>
              <m:t>(</m:t>
            </m:r>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δ</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rad>
      </m:oMath>
      <w:r>
        <w:rPr>
          <w:rFonts w:ascii="Times New Roman" w:hAnsi="Times New Roman" w:eastAsia="Times New Roman" w:cs="Times New Roman"/>
          <w:sz w:val="20"/>
          <w:szCs w:val="20"/>
        </w:rPr>
        <w:t xml:space="preserve">. This engineering scaling rule defines the reported posterior envelope but does not, by itself, establish Eq. </w:t>
      </w:r>
      <w:r>
        <w:rPr>
          <w:rFonts w:ascii="Times New Roman" w:hAnsi="Times New Roman" w:eastAsia="Times New Roman" w:cs="Times New Roman"/>
          <w:sz w:val="20"/>
          <w:szCs w:val="20"/>
        </w:rPr>
        <w:t xml:space="preserve">(9)</w:t>
      </w:r>
      <w:r>
        <w:rPr>
          <w:rFonts w:ascii="Times New Roman" w:hAnsi="Times New Roman" w:eastAsia="Times New Roman" w:cs="Times New Roman"/>
          <w:sz w:val="20"/>
          <w:szCs w:val="20"/>
        </w:rPr>
        <w:t xml:space="preserve">;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m:oMath>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δ</m:t>
                        </m:r>
                      </m:e>
                      <m:sub>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r>
                      <w:rPr>
                        <w:rFonts w:ascii="Times New Roman" w:hAnsi="Times New Roman" w:eastAsia="Times New Roman" w:cs="Times New Roman"/>
                      </w:rPr>
                      <m:t>h</m:t>
                    </m:r>
                  </m:e>
                  <m:e>
                    <m:sSub>
                      <m:e>
                        <m:r>
                          <w:rPr>
                            <w:rFonts w:ascii="Times New Roman" w:hAnsi="Times New Roman" w:eastAsia="Times New Roman" w:cs="Times New Roman"/>
                          </w:rPr>
                          <m:t>δ</m:t>
                        </m:r>
                      </m:e>
                      <m:sub>
                        <m:r>
                          <w:rPr>
                            <w:rFonts w:ascii="Times New Roman" w:hAnsi="Times New Roman" w:eastAsia="Times New Roman" w:cs="Times New Roman"/>
                          </w:rPr>
                          <m:t>i</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(10)</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σ</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(11)</w:t>
            </w:r>
          </w:p>
        </w:tc>
      </w:tr>
    </w:tbl>
    <w:p>
      <w:pPr>
        <w:pStyle w:val="11"/>
        <w:jc w:val="left"/>
        <w:ind w:firstLine="420"/>
      </w:pPr>
      <w:r>
        <w:rPr>
          <w:rFonts w:ascii="Times New Roman" w:hAnsi="Times New Roman" w:eastAsia="Times New Roman" w:cs="Times New Roman"/>
          <w:sz w:val="20"/>
          <w:szCs w:val="20"/>
        </w:rPr>
        <w:t xml:space="preserve">The three margin relations above define the quantity scaled by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online QP. For the formal result,</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uniform operating-set bound and</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bound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states the additional dominance condition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d>
                      <m:dPr>
                        <m:begChr m:val="|"/>
                        <m:sepChr m:val=""/>
                        <m:endChr m:val="|"/>
                        <m:grow/>
                      </m:dPr>
                      <m:e>
                        <m:f>
                          <m:fPr>
                            <m:type m:val="bar"/>
                          </m:fPr>
                          <m:num>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w:rPr>
                                    <w:rFonts w:ascii="Times New Roman" w:hAnsi="Times New Roman" w:eastAsia="Times New Roman" w:cs="Times New Roman"/>
                                  </w:rPr>
                                  <m:t>g</m:t>
                                </m:r>
                              </m:sub>
                            </m:sSub>
                            <m:sSubSup>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sSubSup>
                            <m:r>
                              <w:rPr>
                                <w:rFonts w:ascii="Times New Roman" w:hAnsi="Times New Roman" w:eastAsia="Times New Roman" w:cs="Times New Roman"/>
                              </w:rPr>
                              <m:t>h</m:t>
                            </m:r>
                            <m:r>
                              <m:rPr>
                                <m:sty m:val="p"/>
                              </m:rPr>
                              <w:rPr>
                                <w:rFonts w:ascii="Times New Roman" w:hAnsi="Times New Roman" w:eastAsia="Times New Roman" w:cs="Times New Roman"/>
                              </w:rPr>
                              <m:t>)</m:t>
                            </m:r>
                          </m:num>
                          <m:den>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den>
                        </m:f>
                      </m:e>
                    </m:d>
                  </m:e>
                </m:nary>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(12)</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sup</m:t>
            </m:r>
          </m:e>
          <m:sub>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u</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chain weights are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c</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ℓ</m:t>
            </m:r>
            <m:r>
              <m:rPr>
                <m:sty m:val="p"/>
              </m:rPr>
              <w:rPr>
                <w:rFonts w:ascii="Times New Roman" w:hAnsi="Times New Roman" w:eastAsia="Times New Roman" w:cs="Times New Roman"/>
              </w:rPr>
              <m:t>=</m:t>
            </m:r>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ℓ</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with the empty product equal to one; thus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c</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pressure barriers with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The resulting mean-corrected HOCBF constraint 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rPr>
        <w:t xml:space="preserve">Assumption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(Operating set and relative degree).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state remains in a compact operating set</w:t>
      </w:r>
      <w:r>
        <w:rPr>
          <w:rFonts w:ascii="Times New Roman" w:hAnsi="Times New Roman" w:eastAsia="Times New Roman" w:cs="Times New Roman"/>
          <w:i/>
          <w:iCs/>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X</m:t>
        </m:r>
      </m:oMath>
      <w:r>
        <w:rPr>
          <w:rFonts w:ascii="Times New Roman" w:hAnsi="Times New Roman" w:eastAsia="Times New Roman" w:cs="Times New Roman"/>
          <w:i/>
          <w:iCs/>
          <w:sz w:val="20"/>
          <w:szCs w:val="20"/>
        </w:rPr>
        <w:t xml:space="preserve">, the barriers in Eq. </w:t>
      </w:r>
      <w:r>
        <w:rPr>
          <w:rFonts w:ascii="Times New Roman" w:hAnsi="Times New Roman" w:eastAsia="Times New Roman" w:cs="Times New Roman"/>
          <w:i/>
          <w:iCs/>
          <w:sz w:val="20"/>
          <w:szCs w:val="20"/>
        </w:rPr>
        <w:t xml:space="preserve">(6)</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are continuously differentiable to the required HOCBF order, and their relative degrees are known on</w:t>
      </w:r>
      <w:r>
        <w:rPr>
          <w:rFonts w:ascii="Times New Roman" w:hAnsi="Times New Roman" w:eastAsia="Times New Roman" w:cs="Times New Roman"/>
          <w:i/>
          <w:iCs/>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(Drift-residual GP event).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input matrix is exact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i/>
          <w:iCs/>
          <w:sz w:val="20"/>
          <w:szCs w:val="20"/>
        </w:rPr>
        <w:t xml:space="preserve">). For the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3</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modeled residual outputs</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J</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 Eq. </w:t>
      </w:r>
      <w:r>
        <w:rPr>
          <w:rFonts w:ascii="Times New Roman" w:hAnsi="Times New Roman" w:eastAsia="Times New Roman" w:cs="Times New Roman"/>
          <w:i/>
          <w:iCs/>
          <w:sz w:val="20"/>
          <w:szCs w:val="20"/>
        </w:rPr>
        <w:t xml:space="preserve">(9)</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holds simultaneously over</w:t>
      </w:r>
      <w:r>
        <w:rPr>
          <w:rFonts w:ascii="Times New Roman" w:hAnsi="Times New Roman" w:eastAsia="Times New Roman" w:cs="Times New Roman"/>
          <w:i/>
          <w:iCs/>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 probability at least</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i/>
          <w:iCs/>
          <w:sz w:val="20"/>
          <w:szCs w:val="20"/>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alone is not such a proof. Residuals in the unmodeled</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r</m:t>
            </m:r>
          </m:e>
          <m:sub>
            <m:r>
              <w:rPr>
                <w:rFonts w:ascii="Times New Roman" w:hAnsi="Times New Roman" w:eastAsia="Times New Roman" w:cs="Times New Roman"/>
              </w:rPr>
              <m:t>B</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and</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τ</m:t>
            </m:r>
          </m:e>
          <m:sub>
            <m:r>
              <w:rPr>
                <w:rFonts w:ascii="Times New Roman" w:hAnsi="Times New Roman" w:eastAsia="Times New Roman" w:cs="Times New Roman"/>
              </w:rPr>
              <m:t>f</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rows are zero in the drift-only benchmark or are otherwise covered by Assumption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(Compositional residual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derivative constants used in Lemma S1 are finite on</w:t>
      </w:r>
      <w:r>
        <w:rPr>
          <w:rFonts w:ascii="Times New Roman" w:hAnsi="Times New Roman" w:eastAsia="Times New Roman" w:cs="Times New Roman"/>
          <w:i/>
          <w:iCs/>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rPr>
        <w:t xml:space="preserve">(12)</w:t>
      </w:r>
      <w:r>
        <w:rPr>
          <w:rFonts w:ascii="Times New Roman" w:hAnsi="Times New Roman" w:eastAsia="Times New Roman" w:cs="Times New Roman"/>
          <w:i/>
          <w:iCs/>
          <w:sz w:val="20"/>
          <w:szCs w:val="20"/>
        </w:rPr>
        <w:t xml:space="preserve">, satisfy</w:t>
      </w:r>
      <w:r>
        <w:rPr>
          <w:rFonts w:ascii="Times New Roman" w:hAnsi="Times New Roman" w:eastAsia="Times New Roman" w:cs="Times New Roman"/>
          <w:i/>
          <w:iCs/>
          <w:sz w:val="20"/>
          <w:szCs w:val="20"/>
        </w:rPr>
        <w:t xml:space="preserve"> </w:t>
      </w:r>
      <m:oMath>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 every active HOCBF row and every admissible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Theorem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(Conditional probabilistic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Let</w:t>
      </w:r>
      <w:r>
        <w:rPr>
          <w:rFonts w:ascii="Times New Roman" w:hAnsi="Times New Roman" w:eastAsia="Times New Roman" w:cs="Times New Roman"/>
          <w:i/>
          <w:iCs/>
          <w:sz w:val="20"/>
          <w:szCs w:val="20"/>
        </w:rPr>
        <w:t xml:space="preserve"> </w:t>
      </w:r>
      <m:oMath>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ψ</m:t>
            </m:r>
          </m:e>
          <m:sub>
            <m:r>
              <w:rPr>
                <w:rFonts w:ascii="Times New Roman" w:hAnsi="Times New Roman" w:eastAsia="Times New Roman" w:cs="Times New Roman"/>
              </w:rPr>
              <m:t>m</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u</m:t>
            </m:r>
            <m:r>
              <m:rPr>
                <m:sty m:val="p"/>
              </m:rPr>
              <w:rPr>
                <w:rFonts w:ascii="Times New Roman" w:hAnsi="Times New Roman" w:eastAsia="Times New Roman" w:cs="Times New Roman"/>
              </w:rPr>
              <m:t>e</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m</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denote the induced top-level HOCBF residual after substituting the deviation-input model. If</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0</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C</m:t>
        </m:r>
      </m:oMath>
      <w:r>
        <w:rPr>
          <w:rFonts w:ascii="Times New Roman" w:hAnsi="Times New Roman" w:eastAsia="Times New Roman" w:cs="Times New Roman"/>
          <w:i/>
          <w:iCs/>
          <w:sz w:val="20"/>
          <w:szCs w:val="20"/>
        </w:rPr>
        <w:t xml:space="preserve">, then, under Assumptions </w:t>
      </w:r>
      <w:r>
        <w:rPr>
          <w:rFonts w:ascii="Times New Roman" w:hAnsi="Times New Roman" w:eastAsia="Times New Roman" w:cs="Times New Roman"/>
          <w:i/>
          <w:iCs/>
          <w:sz w:val="20"/>
          <w:szCs w:val="20"/>
        </w:rPr>
        <w:t xml:space="preserve">1</w:t>
      </w:r>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4</w:t>
      </w:r>
      <w:r>
        <w:rPr>
          <w:rFonts w:ascii="Times New Roman" w:hAnsi="Times New Roman" w:eastAsia="Times New Roman" w:cs="Times New Roman"/>
          <w:i/>
          <w:iCs/>
          <w:sz w:val="20"/>
          <w:szCs w:val="20"/>
        </w:rPr>
        <w:t xml:space="preserve">, the QP in Eq.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renders the set</w:t>
      </w:r>
      <w:r>
        <w:rPr>
          <w:rFonts w:ascii="Times New Roman" w:hAnsi="Times New Roman" w:eastAsia="Times New Roman" w:cs="Times New Roman"/>
          <w:i/>
          <w:iCs/>
          <w:sz w:val="20"/>
          <w:szCs w:val="20"/>
        </w:rPr>
        <w:t xml:space="preserve"> </w:t>
      </w:r>
      <m:oMath>
        <m:r>
          <m:rPr>
            <m:scr m:val="script"/>
            <m:sty m:val="p"/>
          </m:rPr>
          <w:rPr>
            <w:rFonts w:ascii="Times New Roman" w:hAnsi="Times New Roman" w:eastAsia="Times New Roman" w:cs="Times New Roman"/>
          </w:rPr>
          <m:t>C</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in Eq. </w:t>
      </w:r>
      <w:r>
        <w:rPr>
          <w:rFonts w:ascii="Times New Roman" w:hAnsi="Times New Roman" w:eastAsia="Times New Roman" w:cs="Times New Roman"/>
          <w:i/>
          <w:iCs/>
          <w:sz w:val="20"/>
          <w:szCs w:val="20"/>
        </w:rPr>
        <w:t xml:space="preserve">(8)</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forward invariant with probability at least</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 obtain</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and then applies the HOCBF forward-invariance result to the tightened QP. The certificate is attached to</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U</m:t>
        </m:r>
      </m:oMath>
      <w:r>
        <w:rPr>
          <w:rFonts w:ascii="Times New Roman" w:hAnsi="Times New Roman" w:eastAsia="Times New Roman" w:cs="Times New Roman"/>
          <w:sz w:val="20"/>
          <w:szCs w:val="20"/>
        </w:rPr>
        <w:t xml:space="preserve">. The online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therefore has a dual interpretation: at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it applies the complete implemented margin and recovers the formal bound only when Assumptions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The QP enforces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i.e., the GP-mean-corrected HOCBF constraint without an additional robustness margin. The separate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notation denotes the no-GP ablation.</w:t>
      </w:r>
    </w:p>
    <w:p>
      <w:pPr>
        <w:numPr>
          <w:ilvl w:val="0"/>
          <w:numId w:val="1003"/>
        </w:numPr>
        <w:jc w:val="left"/>
      </w:pP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the full implemented compositional margin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It recovers the worst-case certificate only when the residual event, derivative bounds,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and full-row QP feasibility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all hold.</w:t>
      </w:r>
    </w:p>
    <w:p>
      <w:pPr>
        <w:numPr>
          <w:ilvl w:val="0"/>
          <w:numId w:val="1003"/>
        </w:numPr>
        <w:jc w:val="left"/>
      </w:pPr>
      <m:oMath>
        <m:r>
          <w:rPr>
            <w:rFonts w:ascii="Times New Roman" w:hAnsi="Times New Roman" w:eastAsia="Times New Roman" w:cs="Times New Roman"/>
          </w:rPr>
          <m:t>0</m:t>
        </m:r>
        <m:r>
          <m:rPr>
            <m:sty m:val="p"/>
          </m:rPr>
          <w:rPr>
            <w:rFonts w:ascii="Times New Roman" w:hAnsi="Times New Roman" w:eastAsia="Times New Roman" w:cs="Times New Roman"/>
          </w:rPr>
          <m:t>&lt;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rPr>
        <w:t xml:space="preserve">The conditional probabilistic certificate is available only at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when every assumption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established; setting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alone is insufficient. Values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0</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f</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r>
              <m:rPr>
                <m:sty m:val="p"/>
              </m:rPr>
              <w:rPr>
                <w:rFonts w:ascii="Times New Roman" w:hAnsi="Times New Roman" w:eastAsia="Times New Roman" w:cs="Times New Roman"/>
              </w:rPr>
              <m:t>o</m:t>
            </m:r>
            <m:r>
              <m:rPr>
                <m:sty m:val="p"/>
              </m:rPr>
              <w:rPr>
                <w:rFonts w:ascii="Times New Roman" w:hAnsi="Times New Roman" w:eastAsia="Times New Roman" w:cs="Times New Roman"/>
              </w:rPr>
              <m:t>r</m:t>
            </m:r>
          </m:sub>
        </m:sSub>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This distinction explains why additive perturbations can use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continuous-time, whereas the implementation uses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T</m:t>
            </m:r>
          </m:e>
          <m:sub>
            <m:r>
              <w:rPr>
                <w:rFonts w:ascii="Times New Roman" w:hAnsi="Times New Roman" w:eastAsia="Times New Roman" w:cs="Times New Roman"/>
              </w:rPr>
              <m:t>s</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pressure_low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and only when</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i</m:t>
            </m:r>
          </m:sub>
        </m:sSub>
        <m:sSub>
          <m:e>
            <m:r>
              <w:rPr>
                <w:rFonts w:ascii="Times New Roman" w:hAnsi="Times New Roman" w:eastAsia="Times New Roman" w:cs="Times New Roman"/>
              </w:rPr>
              <m:t>S</m:t>
            </m:r>
          </m:e>
          <m:sub>
            <m:r>
              <w:rPr>
                <w:rFonts w:ascii="Times New Roman" w:hAnsi="Times New Roman" w:eastAsia="Times New Roman" w:cs="Times New Roman"/>
              </w:rPr>
              <m:t>u</m:t>
            </m:r>
          </m:sub>
        </m:sSub>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&lt;</m:t>
        </m:r>
        <m:r>
          <w:rPr>
            <w:rFonts w:ascii="Times New Roman" w:hAnsi="Times New Roman" w:eastAsia="Times New Roman" w:cs="Times New Roman"/>
          </w:rPr>
          <m:t>0.01</m:t>
        </m:r>
      </m:oMath>
      <w:r>
        <w:rPr>
          <w:rFonts w:ascii="Times New Roman" w:hAnsi="Times New Roman" w:eastAsia="Times New Roman" w:cs="Times New Roman"/>
          <w:sz w:val="20"/>
          <w:szCs w:val="20"/>
        </w:rPr>
        <w:t xml:space="preserve">, the unscaled row right-hand side is below</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original six-row problem, so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rPr>
        <w:t xml:space="preserve">Coverage monitoring combines the input z-score and 0.5th–99.5th training quantiles, the validation-set 99th percentile of posterior standard deviation, and the standardized one-step residual-rate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rPr>
        <w:t xml:space="preserve">The benchmark is a fifth-order nonlinear model of the boiler-turbine coordinated control loop of an ultra-supercritical power unit with state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sSub>
          <m:e>
            <m:r>
              <w:rPr>
                <w:rFonts w:ascii="Times New Roman" w:hAnsi="Times New Roman" w:eastAsia="Times New Roman" w:cs="Times New Roman"/>
              </w:rPr>
              <m:t>τ</m:t>
            </m:r>
          </m:e>
          <m:sub>
            <m:r>
              <w:rPr>
                <w:rFonts w:ascii="Times New Roman" w:hAnsi="Times New Roman" w:eastAsia="Times New Roman" w:cs="Times New Roman"/>
              </w:rPr>
              <m:t>f</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three control inputs. The enforced limits are pressure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13–24 MPa), separator enthalpy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2670–2830 kJ/kg), and generator active-power tracking around the dispatch target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oMath>
      <w:r>
        <w:rPr>
          <w:rFonts w:ascii="Times New Roman" w:hAnsi="Times New Roman" w:eastAsia="Times New Roman" w:cs="Times New Roman"/>
          <w:sz w:val="20"/>
          <w:szCs w:val="20"/>
        </w:rPr>
        <w:t xml:space="preserve"> MW).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structural scope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rollout plant and the filter use the same fixed input matrix, so mismatch enters through drift residuals. The finite rollouts do not by themselves verify the theorem’s uniform residual and derivative-bound assumptions.</w:t>
      </w:r>
    </w:p>
    <w:p>
      <w:pPr>
        <w:pStyle w:val="3"/>
        <w:jc w:val="left"/>
        <w:ind w:firstLine="420"/>
      </w:pPr>
      <w:r>
        <w:rPr>
          <w:rFonts w:ascii="Times New Roman" w:hAnsi="Times New Roman" w:eastAsia="Times New Roman" w:cs="Times New Roman"/>
          <w:sz w:val="20"/>
          <w:szCs w:val="20"/>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 is maintained. S5 and S6 also perturb the extended power/fuel-delay dynamics of the fifth-order model.</w:t>
      </w:r>
    </w:p>
    <w:p>
      <w:pPr>
        <w:pStyle w:val="3"/>
        <w:jc w:val="left"/>
        <w:ind w:firstLine="420"/>
      </w:pPr>
      <w:r>
        <w:rPr>
          <w:rFonts w:ascii="Times New Roman" w:hAnsi="Times New Roman" w:eastAsia="Times New Roman" w:cs="Times New Roman"/>
          <w:sz w:val="20"/>
          <w:szCs w:val="20"/>
        </w:rPr>
        <w:t xml:space="preserve">To isolate the safety layer in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the fixed-proposal and HOCBF rows in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 the same seeded, bounded upstream deviation command and differ only in the downstream filter. Each method-condition cell contains five independent 500-sample rollouts (2500 controller samples). All GP variants use 500 scenario-specific training transitions, the common input/output vector</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rPr>
        <w:t xml:space="preserve">NMPC is evaluated under the same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rollout conditions as an optimization-based reference. It solves a warm-started SLSQP problem with horizon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m:t>
        </m:r>
      </m:oMath>
      <w:r>
        <w:rPr>
          <w:rFonts w:ascii="Times New Roman" w:hAnsi="Times New Roman" w:eastAsia="Times New Roman" w:cs="Times New Roman"/>
          <w:sz w:val="20"/>
          <w:szCs w:val="20"/>
        </w:rPr>
        <w:t xml:space="preserve">, deviation-input bounds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10</m:t>
        </m:r>
        <m:r>
          <m:rPr>
            <m:sty m:val="p"/>
          </m:rPr>
          <w:rPr>
            <w:rFonts w:ascii="Times New Roman" w:hAnsi="Times New Roman" w:eastAsia="Times New Roman" w:cs="Times New Roman"/>
          </w:rPr>
          <m:t>,</m:t>
        </m:r>
        <m:r>
          <w:rPr>
            <w:rFonts w:ascii="Times New Roman" w:hAnsi="Times New Roman" w:eastAsia="Times New Roman" w:cs="Times New Roman"/>
          </w:rPr>
          <m:t>10</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same six process constraints, a stabilized linear prediction model, and additive disturbance correction. The output and input weights are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d</m:t>
        </m:r>
        <m:r>
          <m:rPr>
            <m:sty m:val="p"/>
          </m:rPr>
          <w:rPr>
            <w:rFonts w:ascii="Times New Roman" w:hAnsi="Times New Roman" w:eastAsia="Times New Roman" w:cs="Times New Roman"/>
          </w:rPr>
          <m:t>i</m:t>
        </m:r>
        <m:r>
          <m:rPr>
            <m:sty m:val="p"/>
          </m:rPr>
          <w:rPr>
            <w:rFonts w:ascii="Times New Roman" w:hAnsi="Times New Roman" w:eastAsia="Times New Roman" w:cs="Times New Roman"/>
          </w:rPr>
          <m:t>a</m:t>
        </m:r>
        <m:r>
          <m:rPr>
            <m:sty m:val="p"/>
          </m:rP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1.0</m:t>
        </m:r>
        <m:r>
          <m:rPr>
            <m:sty m:val="p"/>
          </m:rPr>
          <w:rPr>
            <w:rFonts w:ascii="Times New Roman" w:hAnsi="Times New Roman" w:eastAsia="Times New Roman" w:cs="Times New Roman"/>
          </w:rPr>
          <m:t>,</m:t>
        </m:r>
        <m:r>
          <w:rPr>
            <w:rFonts w:ascii="Times New Roman" w:hAnsi="Times New Roman" w:eastAsia="Times New Roman" w:cs="Times New Roman"/>
          </w:rPr>
          <m:t>0.001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d</m:t>
        </m:r>
        <m:r>
          <m:rPr>
            <m:sty m:val="p"/>
          </m:rPr>
          <w:rPr>
            <w:rFonts w:ascii="Times New Roman" w:hAnsi="Times New Roman" w:eastAsia="Times New Roman" w:cs="Times New Roman"/>
          </w:rPr>
          <m:t>i</m:t>
        </m:r>
        <m:r>
          <m:rPr>
            <m:sty m:val="p"/>
          </m:rPr>
          <w:rPr>
            <w:rFonts w:ascii="Times New Roman" w:hAnsi="Times New Roman" w:eastAsia="Times New Roman" w:cs="Times New Roman"/>
          </w:rPr>
          <m:t>a</m:t>
        </m:r>
        <m:r>
          <m:rPr>
            <m:sty m:val="p"/>
          </m:rP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respectively; the disturbance-estimator gain is 0.5, and SLSQP uses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maxiter</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ftol</w:t>
      </w:r>
      <m:oMath>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Every one of the 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NMPC solves in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converged and passed a</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prediction-constraint residual check.</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R</m:t>
                    </m:r>
                  </m:e>
                  <m:sub>
                    <m:r>
                      <m:rPr>
                        <m:sty m:val="p"/>
                      </m:rPr>
                      <w:rPr>
                        <w:rFonts w:ascii="Times New Roman" w:hAnsi="Times New Roman" w:eastAsia="Times New Roman" w:cs="Times New Roman"/>
                      </w:rPr>
                      <m:t>v</m:t>
                    </m:r>
                    <m:r>
                      <m:rPr>
                        <m:sty m:val="p"/>
                      </m:rPr>
                      <w:rPr>
                        <w:rFonts w:ascii="Times New Roman" w:hAnsi="Times New Roman" w:eastAsia="Times New Roman" w:cs="Times New Roman"/>
                      </w:rPr>
                      <m:t>i</m:t>
                    </m:r>
                    <m:r>
                      <m:rPr>
                        <m:sty m:val="p"/>
                      </m:rPr>
                      <w:rPr>
                        <w:rFonts w:ascii="Times New Roman" w:hAnsi="Times New Roman" w:eastAsia="Times New Roman" w:cs="Times New Roman"/>
                      </w:rPr>
                      <m:t>o</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f>
                  <m:fPr>
                    <m:type m:val="bar"/>
                  </m:fPr>
                  <m:num>
                    <m:nary>
                      <m:naryPr>
                        <m:chr m:val="∑"/>
                        <m:limLoc m:val="undOvr"/>
                        <m:subHide m:val="off"/>
                        <m:supHide m:val="off"/>
                      </m:naryPr>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up>
                      <m:e>
                        <m:nary>
                          <m:naryPr>
                            <m:chr m:val="∑"/>
                            <m:limLoc m:val="undOvr"/>
                            <m:subHide m:val="off"/>
                            <m:supHide m:val="off"/>
                          </m:naryPr>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nary>
                              <m:naryPr>
                                <m:chr m:val="∑"/>
                                <m:limLoc m:val="undOvr"/>
                                <m:subHide m:val="off"/>
                                <m:supHide m:val="off"/>
                              </m:naryPr>
                              <m:sub>
                                <m: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r>
                                  <m:rPr>
                                    <m:sty m:val="b"/>
                                  </m:rPr>
                                  <w:rPr>
                                    <w:rFonts w:ascii="Times New Roman" w:hAnsi="Times New Roman" w:eastAsia="Times New Roman" w:cs="Times New Roman"/>
                                  </w:rPr>
                                  <m:t>1</m:t>
                                </m:r>
                              </m:e>
                            </m:nary>
                          </m:e>
                        </m:nary>
                      </m:e>
                    </m:nary>
                    <m:r>
                      <m:rPr>
                        <m:sty m:val="p"/>
                      </m:rPr>
                      <w:rPr>
                        <w:rFonts w:ascii="Times New Roman" w:hAnsi="Times New Roman" w:eastAsia="Times New Roman" w:cs="Times New Roman"/>
                      </w:rPr>
                      <m:t>{</m:t>
                    </m:r>
                    <m:limLow>
                      <m:e>
                        <m:r>
                          <m:rPr>
                            <m:sty m:val="p"/>
                          </m:rPr>
                          <w:rPr>
                            <w:rFonts w:ascii="Times New Roman" w:hAnsi="Times New Roman" w:eastAsia="Times New Roman" w:cs="Times New Roman"/>
                          </w:rPr>
                          <m:t>min</m:t>
                        </m:r>
                      </m:e>
                      <m:lim>
                        <m:r>
                          <w:rPr>
                            <w:rFonts w:ascii="Times New Roman" w:hAnsi="Times New Roman" w:eastAsia="Times New Roman" w:cs="Times New Roman"/>
                          </w:rPr>
                          <m:t>j</m:t>
                        </m:r>
                      </m:lim>
                    </m:limLow>
                    <m:sSub>
                      <m:e>
                        <m:r>
                          <w:rPr>
                            <w:rFonts w:ascii="Times New Roman" w:hAnsi="Times New Roman" w:eastAsia="Times New Roman" w:cs="Times New Roman"/>
                          </w:rPr>
                          <m:t>h</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t</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num>
                  <m:den>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den>
                </m:f>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(13)</w:t>
            </w:r>
          </w:p>
        </w:tc>
      </w:tr>
    </w:tbl>
    <w:p>
      <w:pPr>
        <w:pStyle w:val="11"/>
        <w:jc w:val="left"/>
        <w:ind w:firstLine="420"/>
      </w:pPr>
      <w:r>
        <w:rPr>
          <w:rFonts w:ascii="Times New Roman" w:hAnsi="Times New Roman" w:eastAsia="Times New Roman" w:cs="Times New Roman"/>
          <w:sz w:val="20"/>
          <w:szCs w:val="20"/>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η</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η</m:t>
        </m:r>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to avoid counting QP boundary-roundoff as physical violation; the later stress-test diagnostics use the tolerance stated in their result files or captions. This is not an episode-level probability. A single-rollout diagnostic such as 4/300 in Fig.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reported only for that diagnostic rollout.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aggregates controller samples across seeds and rollouts for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rPr>
        <w:t xml:space="preserve">Table 2. </w:t>
      </w:r>
      <w:r>
        <w:rPr>
          <w:rFonts w:ascii="Times New Roman" w:hAnsi="Times New Roman" w:eastAsia="Times New Roman" w:cs="Times New Roman"/>
          <w:sz w:val="20"/>
          <w:szCs w:val="20"/>
        </w:rPr>
        <w:t xml:space="preserve">Primary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sample-level constraint violation rate (%) at controller instants under a fixed upstream deviation proposal, computed by Eq. </w:t>
      </w:r>
      <w:r>
        <w:rPr>
          <w:rFonts w:ascii="Times New Roman" w:hAnsi="Times New Roman" w:eastAsia="Times New Roman" w:cs="Times New Roman"/>
          <w:sz w:val="20"/>
          <w:szCs w:val="20"/>
        </w:rPr>
        <w:t xml:space="preserve">(13)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a raw-margin numerical tolerance of</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Each cell aggregates five 500-sample rollouts, i.e., 2500 controller samples. The full implemented-margin row tests the conservative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endpoint under actuator limits; it is not the recommended commissioned operating point.</w:t>
      </w:r>
    </w:p>
    <w:tbl>
      <w:tblPr>
        <w:tblStyle w:val="Table"/>
        <w:tblW w:type="dxa" w:w="8500"/>
        <w:tblLook w:firstRow="1" w:lastRow="0" w:firstColumn="0" w:lastColumn="0" w:noHBand="0" w:noVBand="0" w:val="0020"/>
        <w:tblCaption w:val="Table 2. Primary \Delta g=0 validation: sample-level constraint violation rate (%) at controller instants under a fixed upstream deviation proposal, computed by Eq. [eq:sample_violation_rate] with a raw-margin numerical tolerance of 10^{-2}. Each cell aggregates five 500-sample rollouts, i.e., 2500 controller samples. The full implemented-margin row tests the conservative \epsilon_\kappa=1.0 endpoint under actuator limits; it is not the recommended commissioned operating poi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4.48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NMPC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m:t>
              </m:r>
            </m: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0.40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GP-HOCBF mean-only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 composite primary row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in S3; 0 otherwise)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1.0</m:t>
              </m:r>
            </m:oMath>
            <w:r>
              <w:rPr>
                <w:rFonts w:ascii="Times New Roman" w:hAnsi="Times New Roman" w:eastAsia="Times New Roman" w:cs="Times New Roman"/>
                <w:sz w:val="18"/>
                <w:szCs w:val="18"/>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16.76</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0.48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the drift-only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The unfiltered proposal violates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 of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perturbation samples. Correct relative degree removes all 112 nominal violations but does not compensate drift mismatch: no-GP HOCBF retains the same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 perturbation-sample violations. GP mean correction reduces this count to 36/15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all in S3. The composite primary row applies the independently tune-selected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S3 and the mean-only endpoint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nominal case and the other five mismatch conditions, giving 0/17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observed violations. Only S3 underwent tune/test factor selection; the zero-margin entries in the other six conditions are not presented as separate held-out calibrations. Each condition retains its own frozen scenario-specific GP, so the row compares prescribed offline operating points rather than switching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observing the true scenario online. NMPC is also effective, with 35/17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violations and no solver failure, but does not eliminate the short boundary transients in the six mismatch cases.</w:t>
      </w:r>
    </w:p>
    <w:p>
      <w:pPr>
        <w:pStyle w:val="3"/>
        <w:jc w:val="left"/>
        <w:ind w:firstLine="420"/>
      </w:pPr>
      <w:r>
        <w:rPr>
          <w:rFonts w:ascii="Times New Roman" w:hAnsi="Times New Roman" w:eastAsia="Times New Roman" w:cs="Times New Roman"/>
          <w:sz w:val="20"/>
          <w:szCs w:val="20"/>
        </w:rPr>
        <w:t xml:space="preserve">The full implemented-margin row shows why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commissioned rather than set mechanically to its largest value. The endpoint remains safe in nominal, S1, S2, S5, and S6, but it produces 419 S3 violations and 12 S4 violations when the actuator-bounded robust QP loses feasibility. This does not contradict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which requires both full-row feasibility and independently valid residual and derivative bounds.</w:t>
      </w:r>
    </w:p>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that feasibility mechanism explicit for S3. The revised experiment records every QP attempt, rejected candidate, fallback, intervention, and normalized residual. The commissioned row has four rejected initial-step QPs but no ensuing state-limit violation; the full implemented-margin endpoint rejects 628 of 2500 QPs and reverts to the upstream command in those cycles.</w:t>
      </w:r>
    </w:p>
    <w:p>
      <w:pPr>
        <w:jc w:val="left"/>
        <w:spacing w:before="80" w:after="120"/>
        <w:keepLines/>
      </w:pPr>
      <w:r>
        <w:rPr>
          <w:rFonts w:ascii="Times New Roman" w:hAnsi="Times New Roman" w:eastAsia="Times New Roman" w:cs="Times New Roman"/>
          <w:sz w:val="20"/>
          <w:szCs w:val="20"/>
          <w:b/>
          <w:bCs/>
        </w:rPr>
        <w:t xml:space="preserve">Table 3. </w:t>
      </w:r>
      <w:r>
        <w:rPr>
          <w:rFonts w:ascii="Times New Roman" w:hAnsi="Times New Roman" w:eastAsia="Times New Roman" w:cs="Times New Roman"/>
          <w:sz w:val="20"/>
          <w:szCs w:val="20"/>
          <w:color w:val="000000"/>
          <w:b/>
          <w:bCs/>
          <w:i/>
          <w:iCs/>
        </w:rPr>
        <w:t xml:space="preserve">S3 solver and intervention diagnostics for the primary</w:t>
      </w:r>
      <w:r>
        <w:rPr>
          <w:rFonts w:ascii="Times New Roman" w:hAnsi="Times New Roman" w:eastAsia="Times New Roman" w:cs="Times New Roman"/>
          <w:sz w:val="20"/>
          <w:szCs w:val="20"/>
          <w:color w:val="000000"/>
          <w:b/>
          <w:bCs/>
          <w:i/>
          <w:iCs/>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color w:val="000000"/>
          <w:b/>
          <w:bCs/>
          <w:i/>
          <w:iCs/>
        </w:rPr>
        <w:t xml:space="preserve"> </w:t>
      </w:r>
      <w:r>
        <w:rPr>
          <w:rFonts w:ascii="Times New Roman" w:hAnsi="Times New Roman" w:eastAsia="Times New Roman" w:cs="Times New Roman"/>
          <w:sz w:val="20"/>
          <w:szCs w:val="20"/>
          <w:color w:val="000000"/>
          <w:b/>
          <w:bCs/>
          <w:i/>
          <w:iCs/>
        </w:rPr>
        <w:t xml:space="preserve">validation. Each row contains 2500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color w:val="000000"/>
          <w:b/>
          <w:bCs/>
          <w:i/>
          <w:iCs/>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800"/>
        <w:gridCol w:w="1675"/>
        <w:gridCol w:w="1675"/>
        <w:gridCol w:w="1675"/>
        <w:gridCol w:w="1675"/>
      </w:tblGrid>
      <w:tr>
        <w:trPr>
          <w:tblHeader w:val="on"/>
        </w:trPr>
        <w:tc>
          <w:tcPr>
            <w:tcW w:w="1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S3 method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Violation</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rejected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Fallback</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intervention</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1682 of 2500 (67.28%)</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4.48%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GP-HOCBF mean-only</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36 of 2500 (1.44%)</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67.08%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67.12%</w:t>
            </w:r>
          </w:p>
        </w:tc>
      </w:tr>
      <w:tr>
        <w:tc>
          <w:tcPr>
            <w:tcW w:w="1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419 of 2500 (16.76%)</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51.12%</w:t>
            </w:r>
          </w:p>
        </w:tc>
      </w:tr>
    </w:tbl>
    <w:p>
      <w:pPr>
        <w:pStyle w:val="3"/>
        <w:jc w:val="left"/>
        <w:ind w:firstLine="420"/>
      </w:pPr>
      <w:r>
        <w:rPr>
          <w:rFonts w:ascii="Times New Roman" w:hAnsi="Times New Roman" w:eastAsia="Times New Roman" w:cs="Times New Roman"/>
          <w:sz w:val="20"/>
          <w:szCs w:val="20"/>
        </w:rPr>
        <w:t xml:space="preserve">The results indicate a mechanism hierarchy: correct HOCBF structure handles nominal constraint geometry, GP residual correction is the principal mismatch-compensation mechanism,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finite-sample feasibility–safety trade-off.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wp:inline>
            <wp:extent cx="5006975" cy="3391858"/>
            <wp:effectExtent b="0" l="0" r="0" t="0"/>
            <wp:docPr descr="" title="" id="49" name="Picture"/>
            <a:graphic>
              <a:graphicData uri="http://schemas.openxmlformats.org/drawingml/2006/picture">
                <pic:pic>
                  <pic:nvPicPr>
                    <pic:cNvPr descr="figures/Figure_6_process_response.png" id="50" name="Picture"/>
                    <pic:cNvPicPr>
                      <a:picLocks noChangeArrowheads="1" noChangeAspect="1"/>
                    </pic:cNvPicPr>
                  </pic:nvPicPr>
                  <pic:blipFill>
                    <a:blip r:embed="rId48"/>
                    <a:stretch>
                      <a:fillRect/>
                    </a:stretch>
                  </pic:blipFill>
                  <pic:spPr bwMode="auto">
                    <a:xfrm>
                      <a:off x="0" y="0"/>
                      <a:ext cx="5006975" cy="3391858"/>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2. </w:t>
      </w:r>
      <w:r>
        <w:rPr>
          <w:rFonts w:ascii="Times New Roman" w:hAnsi="Times New Roman" w:eastAsia="Times New Roman" w:cs="Times New Roman"/>
          <w:sz w:val="20"/>
          <w:szCs w:val="20"/>
        </w:rPr>
        <w:t xml:space="preserve">Closed-loop mechanism for representative seed 3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Enthalpy safety margin and normalized QP correction over the 45–135 s interval containing the onset and largest excursion. The shaded region marks violation of the lower enthalpy constraint.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 300 s event record.</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Full-rollout minimum enthalpy margin and sample-level violation rate; the symmetric-log horizontal scale resolves the two near-zero margins while retaining the large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counting tolerance defined in Eq. </w:t>
      </w:r>
      <w:r>
        <w:rPr>
          <w:rFonts w:ascii="Times New Roman" w:hAnsi="Times New Roman" w:eastAsia="Times New Roman" w:cs="Times New Roman"/>
          <w:sz w:val="20"/>
          <w:szCs w:val="20"/>
        </w:rPr>
        <w:t xml:space="preserve">(13)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shows the enthalpy bottleneck directly in a representative S3 rollout. HOCBF without GP correction produces 203/300 violating samples and a minimum enthalpy margin 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-51.993</w:t>
      </w:r>
      <w:r>
        <w:rPr>
          <w:rFonts w:ascii="Times New Roman" w:hAnsi="Times New Roman" w:eastAsia="Times New Roman" w:cs="Times New Roman"/>
          <w:sz w:val="20"/>
          <w:szCs w:val="20"/>
        </w:rPr>
        <w:t xml:space="preserve"> kJ/kg. GP mean correction limits the excursion 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-0.01996</w:t>
      </w:r>
      <w:r>
        <w:rPr>
          <w:rFonts w:ascii="Times New Roman" w:hAnsi="Times New Roman" w:eastAsia="Times New Roman" w:cs="Times New Roman"/>
          <w:sz w:val="20"/>
          <w:szCs w:val="20"/>
        </w:rPr>
        <w:t xml:space="preserve"> kJ/kg but still leaves 30 samples below the stated numerical tolerance, whereas the calibrated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margin records 0/300 violations and keeps the minimum positive at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+0.01028</w:t>
      </w:r>
      <w:r>
        <w:rPr>
          <w:rFonts w:ascii="Times New Roman" w:hAnsi="Times New Roman" w:eastAsia="Times New Roman" w:cs="Times New Roman"/>
          <w:sz w:val="20"/>
          <w:szCs w:val="20"/>
        </w:rPr>
        <w:t xml:space="preserve"> kJ/kg. The correction and event panels show that this change is produced by sustained QP intervention rather than by a different upstream proposal. This single-trajectory diagnostic illustrates the mechanism and is not used in place of the five-seed aggregate in Tables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jc w:val="center"/>
        <w:keepNext/>
      </w:pPr>
      <w:r>
        <w:rPr>
          <w:rFonts w:ascii="Times New Roman" w:hAnsi="Times New Roman" w:eastAsia="Times New Roman" w:cs="Times New Roman"/>
          <w:sz w:val="20"/>
          <w:szCs w:val="20"/>
        </w:rPr>
        <w:drawing>
          <wp:inline>
            <wp:extent cx="5006975" cy="3407071"/>
            <wp:effectExtent b="0" l="0" r="0" t="0"/>
            <wp:docPr descr="" title="" id="53" name="Picture"/>
            <a:graphic>
              <a:graphicData uri="http://schemas.openxmlformats.org/drawingml/2006/picture">
                <pic:pic>
                  <pic:nvPicPr>
                    <pic:cNvPr descr="figures/Figure_8_model_mismatch.png" id="54" name="Picture"/>
                    <pic:cNvPicPr>
                      <a:picLocks noChangeArrowheads="1" noChangeAspect="1"/>
                    </pic:cNvPicPr>
                  </pic:nvPicPr>
                  <pic:blipFill>
                    <a:blip r:embed="rId52"/>
                    <a:stretch>
                      <a:fillRect/>
                    </a:stretch>
                  </pic:blipFill>
                  <pic:spPr bwMode="auto">
                    <a:xfrm>
                      <a:off x="0" y="0"/>
                      <a:ext cx="5006975" cy="3407071"/>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3. </w:t>
      </w:r>
      <w:r>
        <w:rPr>
          <w:rFonts w:ascii="Times New Roman" w:hAnsi="Times New Roman" w:eastAsia="Times New Roman" w:cs="Times New Roman"/>
          <w:sz w:val="20"/>
          <w:szCs w:val="20"/>
        </w:rPr>
        <w:t xml:space="preserve">Direct model-mismatch diagnosis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Nominal and true one-step enthalpy-margin responses from identical state-input pairs.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and enthalpy residual rates compared with the scenario-specific GP posterior mean and commissioning envelope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β</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r>
              <m:rPr>
                <m:sty m:val="p"/>
              </m:rP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12.967</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500</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Posterior residual error normalized by that implemented envelope; values below one lie inside the plotted envelope, not a separately established uniform GP confidence set.</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the model mismatch explicit. For the same state and zero-deviation input, the nominal model predicts a next-step enthalpy margin of 28.0 kJ/kg, whereas the S3 plant drops 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-12.0</w:t>
      </w:r>
      <w:r>
        <w:rPr>
          <w:rFonts w:ascii="Times New Roman" w:hAnsi="Times New Roman" w:eastAsia="Times New Roman" w:cs="Times New Roman"/>
          <w:sz w:val="20"/>
          <w:szCs w:val="20"/>
        </w:rPr>
        <w:t xml:space="preserve"> kJ/kg. The pressure and enthalpy panels show that this discrepancy is structured and learnable: the GP posterior mean tracks the realized drift residual, and the remaining error stays inside the implemented commissioning envelope in this diagnostic. The filter therefore corrects a measured residual structure before applying the commissioned margin.</w:t>
      </w:r>
    </w:p>
    <w:p>
      <w:pPr>
        <w:jc w:val="center"/>
        <w:keepNext/>
      </w:pPr>
      <w:r>
        <w:rPr>
          <w:rFonts w:ascii="Times New Roman" w:hAnsi="Times New Roman" w:eastAsia="Times New Roman" w:cs="Times New Roman"/>
          <w:sz w:val="20"/>
          <w:szCs w:val="20"/>
        </w:rPr>
        <w:drawing>
          <wp:inline>
            <wp:extent cx="5006975" cy="1973008"/>
            <wp:effectExtent b="0" l="0" r="0" t="0"/>
            <wp:docPr descr="" title="" id="57" name="Picture"/>
            <a:graphic>
              <a:graphicData uri="http://schemas.openxmlformats.org/drawingml/2006/picture">
                <pic:pic>
                  <pic:nvPicPr>
                    <pic:cNvPr descr="figures/Figure_2.png" id="58" name="Picture"/>
                    <pic:cNvPicPr>
                      <a:picLocks noChangeArrowheads="1" noChangeAspect="1"/>
                    </pic:cNvPicPr>
                  </pic:nvPicPr>
                  <pic:blipFill>
                    <a:blip r:embed="rId56"/>
                    <a:stretch>
                      <a:fillRect/>
                    </a:stretch>
                  </pic:blipFill>
                  <pic:spPr bwMode="auto">
                    <a:xfrm>
                      <a:off x="0" y="0"/>
                      <a:ext cx="5006975" cy="1973008"/>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4. </w:t>
      </w:r>
      <w:r>
        <w:rPr>
          <w:rFonts w:ascii="Times New Roman" w:hAnsi="Times New Roman" w:eastAsia="Times New Roman" w:cs="Times New Roman"/>
          <w:sz w:val="20"/>
          <w:szCs w:val="20"/>
        </w:rPr>
        <w:t xml:space="preserve">Tune/test calibration of</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Pooled and maximum-per-seed violation and QP-rejection rates for tune seeds 0–2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Results for held-out seeds 3–4 after fixing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no retuning used the 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holdout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calibration from confirmation. On tune seeds 0–2,</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412/15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(2.747%). The smallest setting passing both gates is 0.02, with 19/15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(0.127%) and 20/15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rejected QPs (0.133%). After fixing this value, held-out seeds 3–4 give 66/50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(0.132%) and 72/50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rejected QPs (0.144%), with both individual seeds below the same gates. The Wilson values in the Supplemental Material are descriptive Bernoulli-reference bounds because adjacent controller samples are serially correlated. These results define a finite-sample operating point, not a zero-violation guarantee.</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wp:inline>
            <wp:extent cx="5006975" cy="4226299"/>
            <wp:effectExtent b="0" l="0" r="0" t="0"/>
            <wp:docPr descr="" title="" id="62" name="Picture"/>
            <a:graphic>
              <a:graphicData uri="http://schemas.openxmlformats.org/drawingml/2006/picture">
                <pic:pic>
                  <pic:nvPicPr>
                    <pic:cNvPr descr="figures/Figure_GP_data_sensitivity.png" id="63" name="Picture"/>
                    <pic:cNvPicPr>
                      <a:picLocks noChangeArrowheads="1" noChangeAspect="1"/>
                    </pic:cNvPicPr>
                  </pic:nvPicPr>
                  <pic:blipFill>
                    <a:blip r:embed="rId61"/>
                    <a:stretch>
                      <a:fillRect/>
                    </a:stretch>
                  </pic:blipFill>
                  <pic:spPr bwMode="auto">
                    <a:xfrm>
                      <a:off x="0" y="0"/>
                      <a:ext cx="5006975" cy="4226299"/>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5. </w:t>
      </w:r>
      <w:r>
        <w:rPr>
          <w:rFonts w:ascii="Times New Roman" w:hAnsi="Times New Roman" w:eastAsia="Times New Roman" w:cs="Times New Roman"/>
          <w:sz w:val="20"/>
          <w:szCs w:val="20"/>
        </w:rPr>
        <w:t xml:space="preserve">Controlled GP training-data sensitivity 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GP commissioning gate rather than treating every fitted model as deployable. Across 100, 250, and 500 clean training transitions, held-out NRMSE remains between 0.00184 and 0.00243, interval coverage is 100%,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0/2500 violations with 0.16% QP rejection at each size. Controlled label corruption raises NRMSE by approximately two orders of magnitude and drives QP rejection to 95.64–99.88%; fallback to the upstream proposal then produces 64.96–67.20% violation. These deliberately corrupted models fail the pre-enable quality and feasibility gate.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rPr>
        <w:t>4.4 Real-Time Computation</w:t>
      </w:r>
    </w:p>
    <w:p>
      <w:pPr>
        <w:pStyle w:val="11"/>
        <w:jc w:val="left"/>
        <w:ind w:firstLine="420"/>
      </w:pPr>
      <w:r>
        <w:rPr>
          <w:rFonts w:ascii="Times New Roman" w:hAnsi="Times New Roman" w:eastAsia="Times New Roman" w:cs="Times New Roman"/>
          <w:sz w:val="20"/>
          <w:szCs w:val="20"/>
        </w:rPr>
        <w:t xml:space="preserve">The deployment configuration specifies an AMD EPYC Embedded 4565P processor, 64 GB (2</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4.5 Measured Plant Evidence: Envelope, Matched Windows, and Controller Logs</w:t>
      </w:r>
    </w:p>
    <w:p>
      <w:pPr>
        <w:pStyle w:val="11"/>
        <w:jc w:val="left"/>
        <w:ind w:firstLine="420"/>
      </w:pPr>
      <w:r>
        <w:rPr>
          <w:rFonts w:ascii="Times New Roman" w:hAnsi="Times New Roman" w:eastAsia="Times New Roman" w:cs="Times New Roman"/>
          <w:sz w:val="20"/>
          <w:szCs w:val="20"/>
        </w:rPr>
        <w:t xml:space="preserve">The simulation benchmark establishes the closed-loop mechanism: GP residual correction closes most of the model mismatch,</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 a bounded historian snapshot from the 660 MW unit as an operating-envelope check. The grey envelope uses an approximately 24 h loaded operating window from 1 July 2026 02:33 to 2 July 2026 02:28 local time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288</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 the dynamic resolution for retrofit comparison.</w:t>
      </w:r>
    </w:p>
    <w:p>
      <w:pPr>
        <w:jc w:val="center"/>
        <w:keepNext/>
      </w:pPr>
      <w:r>
        <w:rPr>
          <w:rFonts w:ascii="Times New Roman" w:hAnsi="Times New Roman" w:eastAsia="Times New Roman" w:cs="Times New Roman"/>
          <w:sz w:val="20"/>
          <w:szCs w:val="20"/>
        </w:rPr>
        <w:drawing>
          <wp:inline>
            <wp:extent cx="5006975" cy="3597266"/>
            <wp:effectExtent b="0" l="0" r="0" t="0"/>
            <wp:docPr descr="" title="" id="68" name="Picture"/>
            <a:graphic>
              <a:graphicData uri="http://schemas.openxmlformats.org/drawingml/2006/picture">
                <pic:pic>
                  <pic:nvPicPr>
                    <pic:cNvPr descr="figures/Figure_9_production_historian.png" id="69" name="Picture"/>
                    <pic:cNvPicPr>
                      <a:picLocks noChangeArrowheads="1" noChangeAspect="1"/>
                    </pic:cNvPicPr>
                  </pic:nvPicPr>
                  <pic:blipFill>
                    <a:blip r:embed="rId67"/>
                    <a:stretch>
                      <a:fillRect/>
                    </a:stretch>
                  </pic:blipFill>
                  <pic:spPr bwMode="auto">
                    <a:xfrm>
                      <a:off x="0" y="0"/>
                      <a:ext cx="5006975" cy="3597266"/>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6. </w:t>
      </w:r>
      <w:r>
        <w:rPr>
          <w:rFonts w:ascii="Times New Roman" w:hAnsi="Times New Roman" w:eastAsia="Times New Roman" w:cs="Times New Roman"/>
          <w:sz w:val="20"/>
          <w:szCs w:val="20"/>
        </w:rPr>
        <w:t xml:space="preserve">Plant-historian operating-envelope check from the 660 MW ultra-supercritical unit.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low-to-mid-load historian context windows (MW01–MW03), whose main-steam-pressure ranges are 13.21–19.15 MPa. They do not supply controller-internal QP fields. Load was strongly correlated with pressure (</w:t>
      </w:r>
      <m:oMath>
        <m:r>
          <w:rPr>
            <w:rFonts w:ascii="Times New Roman" w:hAnsi="Times New Roman" w:eastAsia="Times New Roman" w:cs="Times New Roman"/>
          </w:rPr>
          <m:t>r</m:t>
        </m:r>
        <m:r>
          <m:rPr>
            <m:sty m:val="p"/>
          </m:rPr>
          <w:rPr>
            <w:rFonts w:ascii="Times New Roman" w:hAnsi="Times New Roman" w:eastAsia="Times New Roman" w:cs="Times New Roman"/>
          </w:rPr>
          <m:t>=</m:t>
        </m:r>
        <m:r>
          <w:rPr>
            <w:rFonts w:ascii="Times New Roman" w:hAnsi="Times New Roman" w:eastAsia="Times New Roman" w:cs="Times New Roman"/>
          </w:rPr>
          <m:t>0.986</m:t>
        </m:r>
      </m:oMath>
      <w:r>
        <w:rPr>
          <w:rFonts w:ascii="Times New Roman" w:hAnsi="Times New Roman" w:eastAsia="Times New Roman" w:cs="Times New Roman"/>
          <w:sz w:val="20"/>
          <w:szCs w:val="20"/>
        </w:rPr>
        <w:t xml:space="preserve">) and fuel flow (</w:t>
      </w:r>
      <m:oMath>
        <m:r>
          <w:rPr>
            <w:rFonts w:ascii="Times New Roman" w:hAnsi="Times New Roman" w:eastAsia="Times New Roman" w:cs="Times New Roman"/>
          </w:rPr>
          <m:t>r</m:t>
        </m:r>
        <m:r>
          <m:rPr>
            <m:sty m:val="p"/>
          </m:rPr>
          <w:rPr>
            <w:rFonts w:ascii="Times New Roman" w:hAnsi="Times New Roman" w:eastAsia="Times New Roman" w:cs="Times New Roman"/>
          </w:rPr>
          <m:t>=</m:t>
        </m:r>
        <m:r>
          <w:rPr>
            <w:rFonts w:ascii="Times New Roman" w:hAnsi="Times New Roman" w:eastAsia="Times New Roman" w:cs="Times New Roman"/>
          </w:rPr>
          <m:t>0.980</m:t>
        </m:r>
      </m:oMath>
      <w:r>
        <w:rPr>
          <w:rFonts w:ascii="Times New Roman" w:hAnsi="Times New Roman" w:eastAsia="Times New Roman" w:cs="Times New Roman"/>
          <w:sz w:val="20"/>
          <w:szCs w:val="20"/>
        </w:rPr>
        <w:t xml:space="preserve">), confirming pressure–combustion coupling during load following. The MW04–MW06 controller exports analyzed below provide the separate execution evidence at 480.7–629.7 MW (72.8–95.4% of nameplate power).</w:t>
      </w:r>
    </w:p>
    <w:p>
      <w:pPr>
        <w:pStyle w:val="3"/>
        <w:jc w:val="left"/>
        <w:ind w:firstLine="420"/>
      </w:pPr>
      <w:r>
        <w:rPr>
          <w:rFonts w:ascii="Times New Roman" w:hAnsi="Times New Roman" w:eastAsia="Times New Roman" w:cs="Times New Roman"/>
          <w:sz w:val="20"/>
          <w:szCs w:val="20"/>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historical pre-retrofit windows from 2024–2025 and post-retrofit windows after the first 24 h of restart, retaining loaded operation and matching by load trajectory. The audit retained 1950 two-hour windows during loaded operation. Across this matched-window cohort, the period-median pressure setpoint-residual standard deviation and 95th-percentile absolute residual decrease by 12.6% and 23.4%, respectively. The representative pair below uses the original 5 s historian samples, with historian files, source timestamps, and metric JSON preserved in the evidence package. Because routine maintenance occurred during the same outage, the plant-response comparison is interpreted as observational evidence associated with the documented retrofit under matched load movement, rather than as a standalone estimate of the algorithm’s causal effect.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wp:inline>
            <wp:extent cx="5006975" cy="4940793"/>
            <wp:effectExtent b="0" l="0" r="0" t="0"/>
            <wp:docPr descr="" title="" id="72" name="Picture"/>
            <a:graphic>
              <a:graphicData uri="http://schemas.openxmlformats.org/drawingml/2006/picture">
                <pic:pic>
                  <pic:nvPicPr>
                    <pic:cNvPr descr="figures/Figure_10_production_retrofit_evidence.png" id="73" name="Picture"/>
                    <pic:cNvPicPr>
                      <a:picLocks noChangeArrowheads="1" noChangeAspect="1"/>
                    </pic:cNvPicPr>
                  </pic:nvPicPr>
                  <pic:blipFill>
                    <a:blip r:embed="rId71"/>
                    <a:stretch>
                      <a:fillRect/>
                    </a:stretch>
                  </pic:blipFill>
                  <pic:spPr bwMode="auto">
                    <a:xfrm>
                      <a:off x="0" y="0"/>
                      <a:ext cx="5006975" cy="4940793"/>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7. </w:t>
      </w:r>
      <w:r>
        <w:rPr>
          <w:rFonts w:ascii="Times New Roman" w:hAnsi="Times New Roman" w:eastAsia="Times New Roman" w:cs="Times New Roman"/>
          <w:sz w:val="20"/>
          <w:szCs w:val="20"/>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active-power trajectories used for matching; the mean-load difference is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-0.72</w:t>
      </w:r>
      <w:r>
        <w:rPr>
          <w:rFonts w:ascii="Times New Roman" w:hAnsi="Times New Roman" w:eastAsia="Times New Roman" w:cs="Times New Roman"/>
          <w:sz w:val="20"/>
          <w:szCs w:val="20"/>
        </w:rPr>
        <w:t xml:space="preserve"> MW and the load-profile RMSE is 10.7 MW.</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Main-steam pressure and the sliding-pressure setpoint.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tracking error,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m</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t</m:t>
            </m:r>
          </m:sub>
        </m:sSub>
      </m:oMath>
      <w:r>
        <w:rPr>
          <w:rFonts w:ascii="Times New Roman" w:hAnsi="Times New Roman" w:eastAsia="Times New Roman" w:cs="Times New Roman"/>
          <w:sz w:val="20"/>
          <w:szCs w:val="20"/>
        </w:rPr>
        <w:t xml:space="preserve">; the sample-level standard deviation decreases from 0.375 to 0.156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Fuel/load distribution for the combustion-side operating context; boxes show median, IQR, and 1.5</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wp:inline>
            <wp:extent cx="5006975" cy="4327295"/>
            <wp:effectExtent b="0" l="0" r="0" t="0"/>
            <wp:docPr descr="" title="" id="76" name="Picture"/>
            <a:graphic>
              <a:graphicData uri="http://schemas.openxmlformats.org/drawingml/2006/picture">
                <pic:pic>
                  <pic:nvPicPr>
                    <pic:cNvPr descr="figures/Figure_11_controller_log_validation.png" id="77" name="Picture"/>
                    <pic:cNvPicPr>
                      <a:picLocks noChangeArrowheads="1" noChangeAspect="1"/>
                    </pic:cNvPicPr>
                  </pic:nvPicPr>
                  <pic:blipFill>
                    <a:blip r:embed="rId75"/>
                    <a:stretch>
                      <a:fillRect/>
                    </a:stretch>
                  </pic:blipFill>
                  <pic:spPr bwMode="auto">
                    <a:xfrm>
                      <a:off x="0" y="0"/>
                      <a:ext cx="5006975" cy="4327295"/>
                    </a:xfrm>
                    <a:prstGeom prst="rect">
                      <a:avLst/>
                    </a:prstGeom>
                    <a:noFill/>
                    <a:ln w="9525">
                      <a:noFill/>
                      <a:headEnd/>
                      <a:tailEnd/>
                    </a:ln>
                  </pic:spPr>
                </pic:pic>
              </a:graphicData>
            </a:graphic>
          </wp:inline>
        </w:drawing>
      </w:r>
    </w:p>
    <w:p>
      <w:pPr>
        <w:jc w:val="left"/>
        <w:spacing w:before="80" w:after="120"/>
        <w:keepLines/>
      </w:pPr>
      <w:r>
        <w:rPr>
          <w:rFonts w:ascii="Times New Roman" w:hAnsi="Times New Roman" w:eastAsia="Times New Roman" w:cs="Times New Roman"/>
          <w:sz w:val="20"/>
          <w:szCs w:val="20"/>
          <w:b/>
          <w:bCs/>
        </w:rPr>
        <w:t xml:space="preserve">Figure 8. </w:t>
      </w:r>
      <w:r>
        <w:rPr>
          <w:rFonts w:ascii="Times New Roman" w:hAnsi="Times New Roman" w:eastAsia="Times New Roman" w:cs="Times New Roman"/>
          <w:sz w:val="20"/>
          <w:szCs w:val="20"/>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 power; the shaded band denotes 70–100% of the 660 MW nameplate rating.</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MW power band. Cell shading is normalized within each column; annotations retain physical units.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43</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optimal_recovered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records. In those 43 records, the original pressure-low HOCBF row has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sSub>
          <m:e>
            <m:r>
              <w:rPr>
                <w:rFonts w:ascii="Times New Roman" w:hAnsi="Times New Roman" w:eastAsia="Times New Roman" w:cs="Times New Roman"/>
              </w:rPr>
              <m:t>G</m:t>
            </m:r>
          </m:e>
          <m:sub>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0.03266</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0.00561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while the directly measured margin remains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2.21654</m:t>
        </m:r>
        <m:r>
          <m:rPr>
            <m:sty m:val="p"/>
          </m:rPr>
          <w:rPr>
            <w:rFonts w:ascii="Times New Roman" w:hAnsi="Times New Roman" w:eastAsia="Times New Roman" w:cs="Times New Roman"/>
          </w:rPr>
          <m:t>,</m:t>
        </m:r>
        <m:r>
          <w:rPr>
            <w:rFonts w:ascii="Times New Roman" w:hAnsi="Times New Roman" w:eastAsia="Times New Roman" w:cs="Times New Roman"/>
          </w:rPr>
          <m:t>2.36306</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p>
    <w:p>
      <w:pPr>
        <w:jc w:val="left"/>
        <w:spacing w:before="80" w:after="120"/>
        <w:keepLines/>
      </w:pPr>
      <w:r>
        <w:rPr>
          <w:rFonts w:ascii="Times New Roman" w:hAnsi="Times New Roman" w:eastAsia="Times New Roman" w:cs="Times New Roman"/>
          <w:sz w:val="20"/>
          <w:szCs w:val="20"/>
          <w:b/>
          <w:bCs/>
        </w:rPr>
        <w:t xml:space="preserve">Table 4. </w:t>
      </w:r>
      <w:r>
        <w:rPr>
          <w:rFonts w:ascii="Times New Roman" w:hAnsi="Times New Roman" w:eastAsia="Times New Roman" w:cs="Times New Roman"/>
          <w:sz w:val="20"/>
          <w:szCs w:val="20"/>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m</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r>
              <m:rPr>
                <m:sty m:val="p"/>
              </m:rPr>
              <w:rPr>
                <w:rFonts w:ascii="Times New Roman" w:hAnsi="Times New Roman" w:eastAsia="Times New Roman" w:cs="Times New Roman"/>
              </w:rPr>
              <m:t>,</m:t>
            </m:r>
            <m:r>
              <m:rPr>
                <m:sty m:val="p"/>
              </m:rPr>
              <w:rPr>
                <w:rFonts w:ascii="Times New Roman" w:hAnsi="Times New Roman" w:eastAsia="Times New Roman" w:cs="Times New Roman"/>
              </w:rPr>
              <m:t>h</m:t>
            </m:r>
            <m:r>
              <m:rPr>
                <m:sty m:val="p"/>
              </m:rPr>
              <w:rPr>
                <w:rFonts w:ascii="Times New Roman" w:hAnsi="Times New Roman" w:eastAsia="Times New Roman" w:cs="Times New Roman"/>
              </w:rPr>
              <m:t>i</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S</m:t>
        </m:r>
        <m:r>
          <w:rPr>
            <w:rFonts w:ascii="Times New Roman" w:hAnsi="Times New Roman" w:eastAsia="Times New Roman" w:cs="Times New Roman"/>
          </w:rPr>
          <m:t>T</m:t>
        </m:r>
        <m:r>
          <m:rPr>
            <m:sty m:val="p"/>
          </m:rPr>
          <w:rPr>
            <w:rFonts w:ascii="Times New Roman" w:hAnsi="Times New Roman" w:eastAsia="Times New Roman" w:cs="Times New Roman"/>
          </w:rPr>
          <m:t>_</m:t>
        </m:r>
        <m:r>
          <w:rPr>
            <w:rFonts w:ascii="Times New Roman" w:hAnsi="Times New Roman" w:eastAsia="Times New Roman" w:cs="Times New Roman"/>
          </w:rPr>
          <m:t>H</m:t>
        </m:r>
        <m:r>
          <w:rPr>
            <w:rFonts w:ascii="Times New Roman" w:hAnsi="Times New Roman" w:eastAsia="Times New Roman" w:cs="Times New Roman"/>
          </w:rPr>
          <m:t>I</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m:rPr>
                <m:sty m:val="p"/>
              </m:rPr>
              <w:rPr>
                <w:rFonts w:ascii="Times New Roman" w:hAnsi="Times New Roman" w:eastAsia="Times New Roman" w:cs="Times New Roman"/>
              </w:rPr>
              <m:t>m</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b>
        </m:sSub>
      </m: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PST_HI</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main-steam-pressure replay bound rather than a separator-pressure limit.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“None”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no fallback or saturation event.</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denotes no fallback or saturation eve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072"/>
        <w:gridCol w:w="1072"/>
        <w:gridCol w:w="1072"/>
        <w:gridCol w:w="1071"/>
        <w:gridCol w:w="1071"/>
        <w:gridCol w:w="1071"/>
        <w:gridCol w:w="1071"/>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Local time</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Load (MW)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p</m:t>
                  </m:r>
                </m:e>
                <m:sub>
                  <m:r>
                    <m:rPr>
                      <m:sty m:val="p"/>
                    </m:rPr>
                    <w:rPr>
                      <w:rFonts w:ascii="Times New Roman" w:hAnsi="Times New Roman" w:eastAsia="Times New Roman" w:cs="Times New Roman"/>
                    </w:rPr>
                    <m:t>m</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r>
                    <m:rPr>
                      <m:sty m:val="p"/>
                    </m:rPr>
                    <w:rPr>
                      <w:rFonts w:ascii="Times New Roman" w:hAnsi="Times New Roman" w:eastAsia="Times New Roman" w:cs="Times New Roman"/>
                    </w:rPr>
                    <m:t>,</m:t>
                  </m:r>
                  <m:r>
                    <m:rPr>
                      <m:sty m:val="p"/>
                    </m:rPr>
                    <w:rPr>
                      <w:rFonts w:ascii="Times New Roman" w:hAnsi="Times New Roman" w:eastAsia="Times New Roman" w:cs="Times New Roman"/>
                    </w:rPr>
                    <m:t>h</m:t>
                  </m:r>
                  <m:r>
                    <m:rPr>
                      <m:sty m:val="p"/>
                    </m:rPr>
                    <w:rPr>
                      <w:rFonts w:ascii="Times New Roman" w:hAnsi="Times New Roman" w:eastAsia="Times New Roman" w:cs="Times New Roman"/>
                    </w:rPr>
                    <m:t>i</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h</m:t>
              </m:r>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margin (kJ/kg)</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QP/recovery status</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QP/task p95 (ms)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MW04</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29 Jun 2026 19:00–20:59:55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563.0–621.2</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2.217</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2.173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62.284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1397 optimal; 43 recovered; 1 fuel-sat.</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4.195 / 26.238</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30 Jun 2026 14:00–15:59:55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547.9–629.7</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3.438</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1.483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20.354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1440 optimal; none</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4.074 / 26.139</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MW06</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26 Jun 2026 23:00–00:59:55</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480.7–619.3</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2.705</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0.463</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0.359</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1440 optimal; none</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4.062 / 26.159</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rPr>
        <w:t>4.6 Stage-Gated Commissioning Protocol</w:t>
      </w:r>
    </w:p>
    <w:p>
      <w:pPr>
        <w:pStyle w:val="11"/>
        <w:jc w:val="left"/>
        <w:ind w:firstLine="420"/>
      </w:pPr>
      <w:r>
        <w:rPr>
          <w:rFonts w:ascii="Times New Roman" w:hAnsi="Times New Roman" w:eastAsia="Times New Roman" w:cs="Times New Roman"/>
          <w:sz w:val="20"/>
          <w:szCs w:val="20"/>
        </w:rPr>
        <w:t xml:space="preserve">RoCBF-SF is intended as 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commissioning-calibrated safety filter</w:t>
      </w:r>
      <w:r>
        <w:rPr>
          <w:rFonts w:ascii="Times New Roman" w:hAnsi="Times New Roman" w:eastAsia="Times New Roman" w:cs="Times New Roman"/>
          <w:sz w:val="20"/>
          <w:szCs w:val="20"/>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rPr>
        <w:t xml:space="preserve">Table 5. </w:t>
      </w:r>
      <w:r>
        <w:rPr>
          <w:rFonts w:ascii="Times New Roman" w:hAnsi="Times New Roman" w:eastAsia="Times New Roman" w:cs="Times New Roman"/>
          <w:sz w:val="20"/>
          <w:szCs w:val="20"/>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700"/>
        <w:gridCol w:w="1934"/>
        <w:gridCol w:w="1933"/>
        <w:gridCol w:w="1933"/>
      </w:tblGrid>
      <w:tr>
        <w:trPr>
          <w:tblHeader w:val="on"/>
        </w:trPr>
        <w:tc>
          <w:tcPr>
            <w:tcW w:w="2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934"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Gate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Minimum evidence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Decision rule</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Residual and margin calibration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Use a scenario-specific GP; select the smallest</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Pre-enable validation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Time-isolated replay, protection-limit review, alarm/fallback tests, and coverage across the five fixed load strata</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Enable online authority only after GP, QP, fallback, and alarm logic pass supervised tests.</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Execution logging</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18"/>
                <w:szCs w:val="18"/>
              </w:rPr>
              <w:t xml:space="preserve">, fallback, saturation, and solve time</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Treat historian traces as plant-response diagnostics; use controller logs such as Fig. </w:t>
            </w:r>
            <w:r>
              <w:rPr>
                <w:rFonts w:ascii="Times New Roman" w:hAnsi="Times New Roman" w:eastAsia="Times New Roman" w:cs="Times New Roman"/>
                <w:sz w:val="18"/>
                <w:szCs w:val="18"/>
              </w:rPr>
              <w:t xml:space="preserve">8</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support safety-filter execution.</w:t>
            </w:r>
          </w:p>
        </w:tc>
      </w:tr>
      <w:tr>
        <w:tc>
          <w:tcPr>
            <w:tcW w:w="2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and boundary monitoring</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rPr>
        <w:t xml:space="preserve">The drift-only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benchmark separates the contributions of barrier structure, residual learning, and margin selection. Correct-relative-degree HOCBF removes nominal violations but leaves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mismatch-sample violations without a GP. Mean correction reduces that count to 36. In the composite primary sweep, the tune-selected S3 setting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and the mean-only endpoint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in the remaining conditions give 0/17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observed violations; held-out S3 seeds give 66/50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and 72/50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 rejections. Only the S3 factor is supported by the reported tune/test selection. Conversely, the full implemented-margin endpoint can lose feasibility under actuator limits. These numerical settings are finite-sample commissioning points. The formal forward-invariance result requires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an independently valid simultaneous residual event and compositional derivative bound,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and full-row robust-QP feasibility; the implemented commissioning multiplier does not establish those conditions by itself.</w:t>
      </w:r>
    </w:p>
    <w:p>
      <w:pPr>
        <w:pStyle w:val="3"/>
        <w:jc w:val="left"/>
        <w:ind w:firstLine="420"/>
      </w:pPr>
      <w:r>
        <w:rPr>
          <w:rFonts w:ascii="Times New Roman" w:hAnsi="Times New Roman" w:eastAsia="Times New Roman" w:cs="Times New Roman"/>
          <w:sz w:val="20"/>
          <w:szCs w:val="20"/>
        </w:rPr>
        <w:t xml:space="preserve">Plant historian and controller records provide complementary measured-operation evidence. The matched-window cohort and representative 5 s pair associate the retrofit with lower pressure-error dispersion under comparable load movement, while the concurrent outage maintenance prevents attributing the entire change to the safety filter alone. Low-to-mid-load historian windows establish operating context, and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deliberately excluded from the full-row certificate claim.</w:t>
      </w:r>
    </w:p>
    <w:p>
      <w:pPr>
        <w:pStyle w:val="3"/>
        <w:jc w:val="left"/>
        <w:ind w:firstLine="420"/>
      </w:pPr>
      <w:r>
        <w:rPr>
          <w:rFonts w:ascii="Times New Roman" w:hAnsi="Times New Roman" w:eastAsia="Times New Roman" w:cs="Times New Roman"/>
          <w:sz w:val="20"/>
          <w:szCs w:val="20"/>
        </w:rPr>
        <w:t xml:space="preserve">Future work should extend time-separated commissioning coverage, evaluate actuator-gain uncertainty beyond the current</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L Wu, L Huang, Y Wang, B Jiang, D Li.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Y W Feng, Y H Li.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 D Ames, S Coogan, M Egerstedt, G Notomista, K Sreenath, P Tabuada.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W Xiao, C Belta, C G Cassandras.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C E Rasmussen, C K I Williams. Gaussian processes for machine learning. MIT Press; 2006.</w:t>
      </w:r>
    </w:p>
    <w:p>
      <w:pPr>
        <w:pStyle w:val="18"/>
        <w:jc w:val="left"/>
        <w:ind w:left="360" w:hanging="360"/>
      </w:pPr>
      <w:r>
        <w:rPr>
          <w:rFonts w:ascii="Times New Roman" w:hAnsi="Times New Roman" w:eastAsia="Times New Roman" w:cs="Times New Roman"/>
          <w:sz w:val="20"/>
          <w:szCs w:val="20"/>
        </w:rPr>
        <w:t>[6] N Srinivas, A Krause, S M Kakade, M W Seeger.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R Cheng, G Orosz, R M Murray, J W Burdick.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J F Fisac, A K Akametalu, M N Zeilinger, S Kaynama, J Gillula, C J Tomlin.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F Castañeda, J J Choi, B Zhang, C J Tomlin, K Sreenath.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M Aali, J Liu.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Y Zhang, L Wen, Z Bing, X Yao, L Kong, W He, A Knoll.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K J Åström, R D Bell.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S Y Li, H B Liu, W J Cai, Y C Soh, L H Xie.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W Tan, J Z Liu, F Fang.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X Liu, P Guan, C W Chan.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M A Abdelbaky, X Liu, X Kong.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J Z Liu, D L Zeng, L Tian, M M Gao, W Wang, Y G Niu, F Fang.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S J Qin, T A Badgwell.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D Q Mayne, J B Rawlings, C V Rao, P O M Scokaert.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 Morari, J H Lee.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D Q Mayne, M M Seron, S V Raković.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A Mesbah.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L Hewing, J Kabzan, M N Zeilinger.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P Wieland, F Allgöwer.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M Jankovic.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A J Taylor, A Singletary, Y Yue, A D Ames.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Q Long, Y T Wang, J Pan.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J Zeng, B Zhang, Z Li, K Sreenath.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 Agrawal, K Sreenath.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A J Taylor, V D Dorobantu, R K Cosner, Y Yue, A D Ames.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R K Cosner, Y Yue, A D Ames.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A Lederer, J Umlauft, S Hirche.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 Alburayt, W P Syam.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S R Chowdhury, A Gopalan.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61" Target="media/rId61.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Commissioning-Calibrated GP-HOCBF Safety Filtering for Ultra-Supercritical Boiler-Turbine Control under Model Mismatch</dc:title>
  <dc:creator/>
  <cp:keywords/>
  <dcterms:created xsi:type="dcterms:W3CDTF">2026-09-01T15:16:44Z</dcterms:created>
  <dcterms:modified xsi:type="dcterms:W3CDTF">2026-09-01T15:16:44Z</dcterms:modified>
</cp:coreProperties>
</file>

<file path=docProps/custom.xml><?xml version="1.0" encoding="utf-8"?>
<custom:Properties xmlns:custom="http://schemas.openxmlformats.org/officeDocument/2006/custom-properties" xmlns:ns1="http://schemas.openxmlformats.org/officeDocument/2006/docPropsVTypes">
  <custom:property fmtid="{D5CDD505-2E9C-101B-9397-08002B2CF9AE}" pid="2" name="abstract">
    <ns1:lpwstr>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drift-only benchmark with \Delta g=0, the no-GP HOCBF produces 10,756 violations in 15,000 mismatch samples; GP mean correction reduces this count to 36. In the scenario-specific primary sweep, the tune-selected S3 setting (\epsilon_\kappa=0.02) and the mean-only endpoint (\epsilon_\kappa=0) in the remaining conditions give 0/17,500 observed violations, while an independent 50,000-sample holdout test of the fixed S3 setting reports a 0.132% violation rate and 0.144% QP-rejection rate. The full implemented-margin endpoint \epsilon_\kappa=1 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ns1:lpwstr>
  </custom:property>
  <custom:property fmtid="{D5CDD505-2E9C-101B-9397-08002B2CF9AE}" pid="5" name="date">
    <ns1:lpwstr/>
  </custom:property>
  <custom:property fmtid="{D5CDD505-2E9C-101B-9397-08002B2CF9AE}" pid="6" name="reference-section-title">
    <ns1:lpwstr>References</ns1:lpwstr>
  </custom:property>
</custom:Properties>
</file>