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1.png" ContentType="image/png"/>
  <Override PartName="/word/media/rId75.png" ContentType="image/png"/>
  <Override PartName="/word/media/rId56.png" ContentType="image/png"/>
  <Override PartName="/word/media/rId48.png" ContentType="image/png"/>
  <Override PartName="/word/media/rId52.png" ContentType="image/png"/>
  <Override PartName="/word/media/rId67.png" ContentType="image/png"/>
  <Override PartName="/word/media/rId61.png" ContentType="image/png"/>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no-GP HOCBF produces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violations in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 samples; GP mean correction reduces this count to 36. In the scenario-specific primary sweep, the tune-selected S3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and the mean-only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in the remaining conditions give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while an independent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000-sample holdout test of the fixed S3 setting reports a 0.132% violation rate and 0.144% QP-rejection rate. The full implemented-margin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K</m:t>
        </m:r>
      </m: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ξ</m:t>
                    </m:r>
                  </m:e>
                </m:acc>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K</m:t>
                    </m:r>
                  </m:sub>
                </m:sSub>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ξ</m:t>
                    </m:r>
                  </m:sub>
                </m:sSub>
                <m:r>
                  <m:rPr>
                    <m:sty m:val="p"/>
                  </m:rPr>
                  <w:rPr>
                    <w:rFonts w:ascii="Times New Roman" w:hAnsi="Times New Roman" w:eastAsia="Times New Roman" w:cs="Times New Roman"/>
                  </w:rPr>
                  <m:t>(</m:t>
                </m:r>
                <m:r>
                  <w:rPr>
                    <w:rFonts w:ascii="Times New Roman" w:hAnsi="Times New Roman" w:eastAsia="Times New Roman" w:cs="Times New Roman"/>
                  </w:rPr>
                  <m:t>ξ</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v</m:t>
              </m:r>
            </m: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actuator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input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actuator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deviation-input form;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13</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24</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2670</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2830</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cr m:val="script"/>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linear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substituting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into the stabilized model gives a top-level affine row. 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used only for the no-GP ablation. This convention preserves the bookkeeping between pressure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and enthalpy/power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constraints while keeping the QP decision variable equal to</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u</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chain weights are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ary>
          <m:naryPr>
            <m:chr m:val="∏"/>
            <m:limLoc m:val="undOvr"/>
            <m:subHide m:val="off"/>
            <m:supHide m:val="off"/>
          </m:naryPr>
          <m:sub>
            <m:r>
              <w:rPr>
                <w:rFonts w:ascii="Times New Roman" w:hAnsi="Times New Roman" w:eastAsia="Times New Roman" w:cs="Times New Roman"/>
                <w:highlight w:val="yellow"/>
              </w:rPr>
              <m:t>ℓ</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r>
              <m:rPr>
                <m:sty m:val="p"/>
              </m:rPr>
              <w:rPr>
                <w:rFonts w:ascii="Times New Roman" w:hAnsi="Times New Roman" w:eastAsia="Times New Roman" w:cs="Times New Roman"/>
                <w:highlight w:val="yellow"/>
              </w:rPr>
              <m:t>(</m:t>
            </m:r>
          </m:e>
        </m:nary>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ℓ</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with the empty product equal to one;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pressure barriers with</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The resulting mean-corrected HOCBF constraint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barriers in Eq. </w:t>
      </w:r>
      <w:r>
        <w:rPr>
          <w:rFonts w:ascii="Times New Roman" w:hAnsi="Times New Roman" w:eastAsia="Times New Roman" w:cs="Times New Roman"/>
          <w:i/>
          <w:iCs/>
          <w:sz w:val="20"/>
          <w:szCs w:val="20"/>
          <w:highlight w:val="yellow"/>
        </w:rPr>
        <w:t xml:space="preserve">(6)</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are continuously differentiable to the required HOCBF order, and their relative degrees are known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highlight w:val="yellow"/>
        </w:rPr>
        <w:t xml:space="preserve">Theorem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(Conditional probabilistic forward invariance).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Let</w:t>
      </w:r>
      <w:r>
        <w:rPr>
          <w:rFonts w:ascii="Times New Roman" w:hAnsi="Times New Roman" w:eastAsia="Times New Roman" w:cs="Times New Roman"/>
          <w:i/>
          <w:iCs/>
          <w:sz w:val="20"/>
          <w:szCs w:val="20"/>
          <w:highlight w:val="yellow"/>
        </w:rPr>
        <w:t xml:space="preserve"> </w:t>
      </w:r>
      <m:oMath>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denote the induced top-level HOCBF residual after substituting the deviation-input model. 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three control inputs. The enforced limits are pressure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13–24 MPa), separator enthalpy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2670–2830 kJ/kg), and generator active-power tracking around the dispatch target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the filter use the same fixed input matrix, so mismatch enters through drift residuals. The finite rollouts do not by themselves verify the theorem’s uniform residual and derivative-bound assumptions.</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rollout conditions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Every one of the 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NMPC solves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converged and passed a</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five 500-sample rollouts, i.e., 2500 controller samples. The full implemented-margin row tests the conservative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 implemented-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composite primary row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unfiltered proposal violates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of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perturbation-sample violations. GP mean correction reduces this count to 36/15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all in S3. The composite primary row applies the independently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nominal case and the other five mismatch conditions, giving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Only S3 underwent tune/test factor selection; the zero-margin entries in the other six conditions are not presented as separate held-out calibrations. Each condition retains its own frozen scenario-specific GP, so the row compares prescribed offline operating points rather than switching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observing the true scenario online. NMPC is also effective, with 35/17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which requires both full-row feasibility and independently valid residual and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 implemented-margin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51.12%</w:t>
            </w:r>
          </w:p>
        </w:tc>
      </w:tr>
    </w:tbl>
    <w:p>
      <w:pPr>
        <w:pStyle w:val="3"/>
        <w:jc w:val="left"/>
        <w:ind w:firstLine="420"/>
      </w:pPr>
      <w:r>
        <w:rPr>
          <w:rFonts w:ascii="Times New Roman" w:hAnsi="Times New Roman" w:eastAsia="Times New Roman" w:cs="Times New Roman"/>
          <w:sz w:val="20"/>
          <w:szCs w:val="20"/>
          <w:highlight w:val="yellow"/>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91858"/>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39185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 kJ/kg. GP mean correction limits the excursion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kJ/kg but still leaves 30 samples below the stated numerical tolerance, whereas the calibrated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margin records 0/300 violations and keeps the minimum positive at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The correction and event panels show that this change is produced by sustained QP intervention rather than by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enthalpy-margin responses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12.967</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-12.0</w:t>
      </w:r>
      <w:r>
        <w:rPr>
          <w:rFonts w:ascii="Times New Roman" w:hAnsi="Times New Roman" w:eastAsia="Times New Roman" w:cs="Times New Roman"/>
          <w:sz w:val="20"/>
          <w:szCs w:val="20"/>
          <w:highlight w:val="yellow"/>
        </w:rPr>
        <w:t xml:space="preserve"> kJ/kg. The pressure and enthalpy panels show that this discrepancy is structured and learnable: the GP posterior mean tracks the realized drift residual, and the remaining error stays inside the implemented commissioning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ns2:inline>
            <ns2:extent cx="5006975" cy="1973008"/>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00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412/15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(2.747%). The smallest setting passing both gates is 0.02, with 19/15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(0.127%) and 20/15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(0.133%). After fixing this value, held-out seeds 3–4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(0.132%)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mismatch-sample violations without a GP. Mean correction reduces that count to 36. In the composite primary sweep, the tune-selected S3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and the mean-only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in the remaining conditions give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held-out S3 seeds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Only the S3 factor is supported by the reported tune/test selection. Conversely, the full implemented-margin endpoint can lose feasibility under actuator limits. These numerical settings are finite-sample commissioning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commissioning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Commissioning-Calibrated GP-HOCBF Safety Filtering for Ultra-Supercritical Boiler-Turbine Control under Model Mismatch</dc:title>
  <dc:creator/>
  <cp:keywords/>
  <dcterms:created xsi:type="dcterms:W3CDTF">2026-09-01T15:16:44Z</dcterms:created>
  <dcterms:modified xsi:type="dcterms:W3CDTF">2026-09-01T15:16:44Z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2" name="abstract">
    <ns1:lpwstr>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 \Delta g=0, the no-GP HOCBF produces 10,756 violations in 15,000 mismatch samples; GP mean correction reduces this count to 36. In the scenario-specific primary sweep, the tune-selected S3 setting (\epsilon_\kappa=0.02) and the mean-only endpoint (\epsilon_\kappa=0) in the remaining conditions give 0/17,500 observed violations, while an independent 50,000-sample holdout test of the fixed S3 setting reports a 0.132% violation rate and 0.144% QP-rejection rate. The full implemented-margin endpoint \epsilon_\kappa=1 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ns1:lpwstr>
  </custom:property>
  <custom:property fmtid="{D5CDD505-2E9C-101B-9397-08002B2CF9AE}" pid="5" name="date">
    <ns1:lpwstr/>
  </custom:property>
  <custom:property fmtid="{D5CDD505-2E9C-101B-9397-08002B2CF9AE}" pid="6" name="reference-section-title">
    <ns1:lpwstr>References</ns1:lpwstr>
  </custom:property>
</custom:Properties>
</file>