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w="http://schemas.openxmlformats.org/wordprocessingml/2006/main">
  <w:body>
    <w:p>
      <w:pPr>
        <w:jc w:val="center"/>
      </w:pPr>
      <w:r>
        <w:rPr>
          <w:rFonts w:ascii="Times New Roman" w:hAnsi="Times New Roman" w:eastAsia="Times New Roman" w:cs="Times New Roman"/>
          <w:sz w:val="30"/>
          <w:szCs w:val="30"/>
          <w:b/>
          <w:bCs/>
        </w:rPr>
        <w:t>Supplemental Material for "Commissioning-Calibrated GP-HOCBF Safety Filtering for Ultra-Supercritical Boiler-Turbine Control under Model Mismatch"</w:t>
      </w:r>
    </w:p>
    <w:p>
      <w:pPr>
        <w:jc w:val="left"/>
        <w:spacing w:before="0" w:after="0"/>
      </w:pPr>
      <w:r>
        <w:rPr>
          <w:rFonts w:ascii="Times New Roman" w:hAnsi="Times New Roman" w:eastAsia="Times New Roman" w:cs="Times New Roman"/>
          <w:sz w:val="24"/>
          <w:szCs w:val="24"/>
          <w:color w:val="000000"/>
          <w:b/>
          <w:bCs/>
          <w:i/>
          <w:iCs/>
        </w:rPr>
        <w:t xml:space="preserve">Supplemental Material</w:t>
      </w:r>
    </w:p>
    <w:p>
      <w:pPr>
        <w:pStyle w:val="11"/>
        <w:jc w:val="left"/>
        <w:ind w:firstLine="420"/>
      </w:pPr>
      <w:r>
        <w:rPr>
          <w:rFonts w:ascii="Times New Roman" w:hAnsi="Times New Roman" w:eastAsia="Times New Roman" w:cs="Times New Roman"/>
          <w:i/>
          <w:iCs/>
          <w:sz w:val="20"/>
          <w:szCs w:val="20"/>
        </w:rPr>
        <w:t xml:space="preserve">Citation numbers follow the numbering of the main article.</w:t>
      </w:r>
    </w:p>
    <w:p>
      <w:pPr>
        <w:jc w:val="left"/>
        <w:spacing w:before="0" w:after="0"/>
      </w:pPr>
      <w:r>
        <w:rPr>
          <w:rFonts w:ascii="Times New Roman" w:hAnsi="Times New Roman" w:eastAsia="Times New Roman" w:cs="Times New Roman"/>
          <w:sz w:val="24"/>
          <w:szCs w:val="24"/>
          <w:color w:val="000000"/>
          <w:b/>
          <w:bCs/>
          <w:i/>
          <w:iCs/>
        </w:rPr>
        <w:t>1 Native-Sample Safety and QP Diagnostics</w:t>
      </w:r>
    </w:p>
    <w:p>
      <w:pPr>
        <w:pStyle w:val="11"/>
        <w:jc w:val="left"/>
        <w:ind w:firstLine="420"/>
      </w:pPr>
      <w:r>
        <w:rPr>
          <w:rFonts w:ascii="Times New Roman" w:hAnsi="Times New Roman" w:eastAsia="Times New Roman" w:cs="Times New Roman"/>
          <w:sz w:val="20"/>
          <w:szCs w:val="20"/>
        </w:rPr>
        <w:t xml:space="preserve">All benchmark violation rates are evaluated at the native 1 s controller instants. A controller sample is counted once when any enforced pressure, separator-enthalpy, or power barrier satisfies</w:t>
      </w:r>
      <w:r>
        <w:rPr>
          <w:rFonts w:ascii="Times New Roman" w:hAnsi="Times New Roman" w:eastAsia="Times New Roman" w:cs="Times New Roman"/>
          <w:sz w:val="20"/>
          <w:szCs w:val="20"/>
        </w:rPr>
        <w:t xml:space="preserve"> </w:t>
      </w:r>
      <m:oMath>
        <m:sSub>
          <m:e>
            <m:r>
              <m:rPr>
                <m:sty m:val="p"/>
              </m:rPr>
              <w:rPr>
                <w:rFonts w:ascii="Times New Roman" w:hAnsi="Times New Roman" w:eastAsia="Times New Roman" w:cs="Times New Roman"/>
              </w:rPr>
              <m:t>min</m:t>
            </m:r>
          </m:e>
          <m:sub>
            <m:r>
              <w:rPr>
                <w:rFonts w:ascii="Times New Roman" w:hAnsi="Times New Roman" w:eastAsia="Times New Roman" w:cs="Times New Roman"/>
              </w:rPr>
              <m:t>j</m:t>
            </m:r>
          </m:sub>
        </m:sSub>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The tolerance excludes numerical boundary roundoff; the unrounded minimum barrier is retained separately. Episode-level event probabilities are not combined with these sample rates.</w:t>
      </w:r>
    </w:p>
    <w:p>
      <w:pPr>
        <w:jc w:val="left"/>
        <w:spacing w:before="80" w:after="120"/>
        <w:keepLines/>
      </w:pPr>
      <w:r>
        <w:rPr>
          <w:rFonts w:ascii="Times New Roman" w:hAnsi="Times New Roman" w:eastAsia="Times New Roman" w:cs="Times New Roman"/>
          <w:sz w:val="20"/>
          <w:szCs w:val="20"/>
          <w:b/>
          <w:bCs/>
        </w:rPr>
        <w:t xml:space="preserve">Table S1. </w:t>
      </w:r>
      <w:r>
        <w:rPr>
          <w:rFonts w:ascii="Times New Roman" w:hAnsi="Times New Roman" w:eastAsia="Times New Roman" w:cs="Times New Roman"/>
          <w:sz w:val="20"/>
          <w:szCs w:val="20"/>
        </w:rPr>
        <w:t xml:space="preserve">Count-level S3 diagnostics for the primary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Each row aggregates five 500-sample rollouts. A rejected QP is non-converged, non-finite, or has maximum normalized primal residual above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w:t>
      </w:r>
    </w:p>
    <w:tbl>
      <w:tblPr>
        <w:tblStyle w:val="Table"/>
        <w:tblW w:type="dxa" w:w="8500"/>
        <w:tblLook w:firstRow="1" w:lastRow="0" w:firstColumn="0" w:lastColumn="0" w:noHBand="0" w:noVBand="0" w:val="0020"/>
        <w:tblCaption w:val="Table S1. Count-level S3 diagnostics for the primary \Delta g=0 validation. Each row aggregates five 500-sample rollouts. A rejected QP is non-converged, non-finite, or has maximum normalized primal residual above 10^{-6}."/>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Method</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Violating samples</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rejected</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intervention</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HOCBF, no GP</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1682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4.48%</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GP-HOCBF,</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36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67.08%</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RoCBF-SF,</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67.12%</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Full implemented-margin endpoint,</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419 of 2500</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628 of 2500</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51.12%</w:t>
            </w:r>
          </w:p>
        </w:tc>
      </w:tr>
    </w:tbl>
    <w:p>
      <w:pPr>
        <w:pStyle w:val="3"/>
        <w:jc w:val="left"/>
        <w:ind w:firstLine="420"/>
      </w:pPr>
      <w:r>
        <w:rPr>
          <w:rFonts w:ascii="Times New Roman" w:hAnsi="Times New Roman" w:eastAsia="Times New Roman" w:cs="Times New Roman"/>
          <w:sz w:val="20"/>
          <w:szCs w:val="20"/>
        </w:rPr>
        <w:t xml:space="preserve">The four rejected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candidates occur at the initial step of four seeds; the live upstream proposal is used on those cycles, and no subsequent state-limit violation is observed.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628 rejected QPs coincide with the actuator-limited loss of full-row feasibility. This endpoint does not satisfy the robust-QP-feasibility assumption of Theorem 1.</w:t>
      </w:r>
    </w:p>
    <w:p>
      <w:pPr>
        <w:jc w:val="left"/>
        <w:spacing w:before="0" w:after="0"/>
      </w:pPr>
      <w:r>
        <w:rPr>
          <w:rFonts w:ascii="Times New Roman" w:hAnsi="Times New Roman" w:eastAsia="Times New Roman" w:cs="Times New Roman"/>
          <w:sz w:val="24"/>
          <w:szCs w:val="24"/>
          <w:color w:val="000000"/>
          <w:b/>
          <w:bCs/>
          <w:i/>
          <w:iCs/>
        </w:rPr>
        <w:t>2 Robustness-Factor Tune/Test Separation</w:t>
      </w:r>
    </w:p>
    <w:p>
      <w:pPr>
        <w:pStyle w:val="11"/>
        <w:jc w:val="left"/>
        <w:ind w:firstLine="420"/>
      </w:pPr>
      <w:r>
        <w:rPr>
          <w:rFonts w:ascii="Times New Roman" w:hAnsi="Times New Roman" w:eastAsia="Times New Roman" w:cs="Times New Roman"/>
          <w:sz w:val="20"/>
          <w:szCs w:val="20"/>
        </w:rPr>
        <w:t xml:space="preserve">Tune seeds 0–2 each contain 10 episodes of 500 controller samples. Thus, each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contains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tune samples. The predeclared selector is the smallest setting for which both pooled and maximum-per-seed violation rates are below 1% and both pooled and maximum-per-seed QP-rejection rates are below 0.5%.</w:t>
      </w:r>
    </w:p>
    <w:p>
      <w:pPr>
        <w:jc w:val="left"/>
        <w:spacing w:before="80" w:after="120"/>
        <w:keepLines/>
      </w:pPr>
      <w:r>
        <w:rPr>
          <w:rFonts w:ascii="Times New Roman" w:hAnsi="Times New Roman" w:eastAsia="Times New Roman" w:cs="Times New Roman"/>
          <w:sz w:val="20"/>
          <w:szCs w:val="20"/>
          <w:b/>
          <w:bCs/>
        </w:rPr>
        <w:t xml:space="preserve">Table S2. </w:t>
      </w:r>
      <w:r>
        <w:rPr>
          <w:rFonts w:ascii="Times New Roman" w:hAnsi="Times New Roman" w:eastAsia="Times New Roman" w:cs="Times New Roman"/>
          <w:sz w:val="20"/>
          <w:szCs w:val="20"/>
        </w:rPr>
        <w:t xml:space="preserve">Tune-seed selection data. Rates are percentages of native controller samples. Wilson upper limits are descriptive Bernoulli-reference values; adjacent samples are serially correlated.</w:t>
      </w:r>
    </w:p>
    <w:tbl>
      <w:tblPr>
        <w:tblStyle w:val="Table"/>
        <w:tblW w:type="dxa" w:w="8500"/>
        <w:tblLook w:firstRow="1" w:lastRow="0" w:firstColumn="0" w:lastColumn="0" w:noHBand="0" w:noVBand="0" w:val="0020"/>
        <w:tblCaption w:val="Table S2. Tune-seed selection data. Rates are percentages of native controller samples. Wilson upper limits are descriptive Bernoulli-reference values; adjacent samples are serially correlated."/>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500"/>
        <w:gridCol w:w="1500"/>
        <w:gridCol w:w="1500"/>
        <w:gridCol w:w="1500"/>
        <w:gridCol w:w="150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 count (rate)</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Max. seed violation</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rejection count (rate)</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Max. seed rejection</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Pass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412 (2.747)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8.240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0.02</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19 (0.127)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0.380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 (0.133)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0.05</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26 (0.173)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0.10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27 (0.180)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0.20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92 (0.613)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0.50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204 (1.360)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3.580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439 (2.927)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5.900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1.00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1047 (6.980)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11.080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1792 (11.947)</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17.220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No</w:t>
            </w:r>
          </w:p>
        </w:tc>
      </w:tr>
    </w:tbl>
    <w:p>
      <w:pPr>
        <w:pStyle w:val="3"/>
        <w:jc w:val="left"/>
        <w:ind w:firstLine="420"/>
      </w:pPr>
      <w:r>
        <w:rPr>
          <w:rFonts w:ascii="Times New Roman" w:hAnsi="Times New Roman" w:eastAsia="Times New Roman" w:cs="Times New Roman"/>
          <w:sz w:val="20"/>
          <w:szCs w:val="20"/>
        </w:rPr>
        <w:t xml:space="preserve">The selector fixes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before evaluating seeds 3–4. Each held-out seed contains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samples. Seed 3 records 42 violations and 34 rejected QPs; seed 4 records 24 violations and 38 rejected QPs. The pooled rates are therefore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(0.132%)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(0.144%), respectively. No holdout result is used to change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3 GP Residual Definition and Commissioning Data</w:t>
      </w:r>
    </w:p>
    <w:p>
      <w:pPr>
        <w:pStyle w:val="11"/>
        <w:jc w:val="left"/>
        <w:ind w:firstLine="420"/>
      </w:pPr>
      <w:r>
        <w:rPr>
          <w:rFonts w:ascii="Times New Roman" w:hAnsi="Times New Roman" w:eastAsia="Times New Roman" w:cs="Times New Roman"/>
          <w:sz w:val="20"/>
          <w:szCs w:val="20"/>
        </w:rPr>
        <w:t xml:space="preserve">The benchmark and deployed GP use the same three-dimensional kernel input,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k</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(S1)</w:t>
            </w:r>
          </w:p>
        </w:tc>
      </w:tr>
    </w:tbl>
    <w:p>
      <w:pPr>
        <w:pStyle w:val="11"/>
        <w:jc w:val="left"/>
        <w:ind w:firstLine="420"/>
      </w:pPr>
      <w:r>
        <w:rPr>
          <w:rFonts w:ascii="Times New Roman" w:hAnsi="Times New Roman" w:eastAsia="Times New Roman" w:cs="Times New Roman"/>
          <w:sz w:val="20"/>
          <w:szCs w:val="20"/>
        </w:rPr>
        <w:t xml:space="preserve">The nominal predictor uses the complete five-state vector and all three proposed control commands. The three learning targets are residual rates,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y</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f>
                  <m:fPr>
                    <m:type m:val="bar"/>
                  </m:fPr>
                  <m:num>
                    <m:sSub>
                      <m:e>
                        <m:r>
                          <w:rPr>
                            <w:rFonts w:ascii="Times New Roman" w:hAnsi="Times New Roman" w:eastAsia="Times New Roman" w:cs="Times New Roman"/>
                          </w:rPr>
                          <m:t>x</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k</m:t>
                        </m:r>
                      </m:sub>
                      <m:sup>
                        <m:r>
                          <m:rPr>
                            <m:sty m:val="p"/>
                          </m:rPr>
                          <w:rPr>
                            <w:rFonts w:ascii="Times New Roman" w:hAnsi="Times New Roman" w:eastAsia="Times New Roman" w:cs="Times New Roman"/>
                          </w:rPr>
                          <m:t>n</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sup>
                    </m:sSubSup>
                  </m:num>
                  <m:den>
                    <m:sSub>
                      <m:e>
                        <m:r>
                          <w:rPr>
                            <w:rFonts w:ascii="Times New Roman" w:hAnsi="Times New Roman" w:eastAsia="Times New Roman" w:cs="Times New Roman"/>
                          </w:rPr>
                          <m:t>T</m:t>
                        </m:r>
                      </m:e>
                      <m:sub>
                        <m:r>
                          <w:rPr>
                            <w:rFonts w:ascii="Times New Roman" w:hAnsi="Times New Roman" w:eastAsia="Times New Roman" w:cs="Times New Roman"/>
                          </w:rPr>
                          <m:t>s</m:t>
                        </m:r>
                      </m:sub>
                    </m:sSub>
                  </m:den>
                </m:f>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j</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(S2)</w:t>
            </w:r>
          </w:p>
        </w:tc>
      </w:tr>
    </w:tbl>
    <w:p>
      <w:pPr>
        <w:pStyle w:val="11"/>
        <w:jc w:val="left"/>
        <w:ind w:firstLine="420"/>
      </w:pPr>
      <w:r>
        <w:rPr>
          <w:rFonts w:ascii="Times New Roman" w:hAnsi="Times New Roman" w:eastAsia="Times New Roman" w:cs="Times New Roman"/>
          <w:sz w:val="20"/>
          <w:szCs w:val="20"/>
        </w:rPr>
        <w:t xml:space="preserve">Kernel distances use the frozen training transform</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r>
              <w:rPr>
                <w:rFonts w:ascii="Times New Roman" w:hAnsi="Times New Roman" w:eastAsia="Times New Roman" w:cs="Times New Roman"/>
              </w:rPr>
              <m:t>μ</m:t>
            </m:r>
          </m:e>
          <m:sub>
            <m:r>
              <w:rPr>
                <w:rFonts w:ascii="Times New Roman" w:hAnsi="Times New Roman" w:eastAsia="Times New Roman" w:cs="Times New Roman"/>
              </w:rPr>
              <m:t>i</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s</m:t>
            </m:r>
          </m:e>
          <m:sub>
            <m:r>
              <w:rPr>
                <w:rFonts w:ascii="Times New Roman" w:hAnsi="Times New Roman" w:eastAsia="Times New Roman" w:cs="Times New Roman"/>
              </w:rPr>
              <m:t>i</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oMath>
      <w:r>
        <w:rPr>
          <w:rFonts w:ascii="Times New Roman" w:hAnsi="Times New Roman" w:eastAsia="Times New Roman" w:cs="Times New Roman"/>
          <w:sz w:val="20"/>
          <w:szCs w:val="20"/>
        </w:rPr>
        <w:t xml:space="preserve">, and each residual target is standardized by its training mean and standard deviation. The transforms are not updated online.</w:t>
      </w:r>
    </w:p>
    <w:p>
      <w:pPr>
        <w:pStyle w:val="3"/>
        <w:jc w:val="left"/>
        <w:ind w:firstLine="420"/>
      </w:pPr>
      <w:r>
        <w:rPr>
          <w:rFonts w:ascii="Times New Roman" w:hAnsi="Times New Roman" w:eastAsia="Times New Roman" w:cs="Times New Roman"/>
          <w:sz w:val="20"/>
          <w:szCs w:val="20"/>
        </w:rPr>
        <w:t xml:space="preserve">The plant commissioning record contains approximately 14 days of 1 Hz historian and commissioning data (about 1.21 million state transitions). Stops, manual operation, communication faults, stale measurements, interlock action, missing values, and identified bad points are removed, leaving approximately 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candidate transitions. Days 1–10 form the training candidate pool; day 11 is a 24 h isolation gap; and days 12–14 form the independent validation pool. Normalization parameters and kernel hyperparameters use only days 1–10.</w:t>
      </w:r>
    </w:p>
    <w:p>
      <w:pPr>
        <w:jc w:val="left"/>
        <w:spacing w:before="80" w:after="120"/>
        <w:keepLines/>
      </w:pPr>
      <w:r>
        <w:rPr>
          <w:rFonts w:ascii="Times New Roman" w:hAnsi="Times New Roman" w:eastAsia="Times New Roman" w:cs="Times New Roman"/>
          <w:sz w:val="20"/>
          <w:szCs w:val="20"/>
          <w:b/>
          <w:bCs/>
        </w:rPr>
        <w:t xml:space="preserve">Table S3. </w:t>
      </w:r>
      <w:r>
        <w:rPr>
          <w:rFonts w:ascii="Times New Roman" w:hAnsi="Times New Roman" w:eastAsia="Times New Roman" w:cs="Times New Roman"/>
          <w:sz w:val="20"/>
          <w:szCs w:val="20"/>
        </w:rPr>
        <w:t xml:space="preserve">Fixed plant-GP load strata and quotas. Candidates are separated by at least 60 s and selected by deterministic farthest-point coverage in standardized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space. Quotas are not borrowed between strata.</w:t>
      </w:r>
    </w:p>
    <w:tbl>
      <w:tblPr>
        <w:tblStyle w:val="Table"/>
        <w:tblW w:type="dxa" w:w="8500"/>
        <w:tblLook w:firstRow="1" w:lastRow="0" w:firstColumn="0" w:lastColumn="0" w:noHBand="0" w:noVBand="0" w:val="0020"/>
        <w:tblCaption w:val="Table S3. Fixed plant-GP load strata and quotas. Candidates are separated by at least 60 s and selected by deterministic farthest-point coverage in standardized (p_m,h_m,N_e) space. Quotas are not borrowed between strata."/>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2850"/>
        <w:gridCol w:w="285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Generator-load stratum (MW)</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Training points</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Validation points</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180–264</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264–363</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363–462</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462–561</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561–660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Total</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500</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200</w:t>
            </w:r>
          </w:p>
        </w:tc>
      </w:tr>
    </w:tbl>
    <w:p>
      <w:pPr>
        <w:pStyle w:val="3"/>
        <w:jc w:val="left"/>
        <w:ind w:firstLine="420"/>
      </w:pPr>
      <w:r>
        <w:rPr>
          <w:rFonts w:ascii="Times New Roman" w:hAnsi="Times New Roman" w:eastAsia="Times New Roman" w:cs="Times New Roman"/>
          <w:sz w:val="20"/>
          <w:szCs w:val="20"/>
        </w:rPr>
        <w:t xml:space="preserve">Three independent exact Matérn-5/2 GPs are trained and frozen after offline replay. The deployed dictionary remains at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500</m:t>
        </m:r>
      </m:oMath>
      <w:r>
        <w:rPr>
          <w:rFonts w:ascii="Times New Roman" w:hAnsi="Times New Roman" w:eastAsia="Times New Roman" w:cs="Times New Roman"/>
          <w:sz w:val="20"/>
          <w:szCs w:val="20"/>
        </w:rPr>
        <w:t xml:space="preserve">; online sample growth is zero. Models are reviewed quarterly and after major maintenance or a material coal-source change. The current and previous stable versions are retained for rollback. Exact-GP storage is</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O</m:t>
        </m:r>
        <m:r>
          <m:rPr>
            <m:sty m:val="p"/>
          </m:rPr>
          <w:rPr>
            <w:rFonts w:ascii="Times New Roman" w:hAnsi="Times New Roman" w:eastAsia="Times New Roman" w:cs="Times New Roman"/>
          </w:rPr>
          <m:t>(</m:t>
        </m:r>
        <m:r>
          <w:rPr>
            <w:rFonts w:ascii="Times New Roman" w:hAnsi="Times New Roman" w:eastAsia="Times New Roman" w:cs="Times New Roman"/>
          </w:rPr>
          <m:t>q</m:t>
        </m:r>
        <m:sSup>
          <m:e>
            <m:r>
              <w:rPr>
                <w:rFonts w:ascii="Times New Roman" w:hAnsi="Times New Roman" w:eastAsia="Times New Roman" w:cs="Times New Roman"/>
              </w:rPr>
              <m:t>N</m:t>
            </m:r>
          </m:e>
          <m:sup>
            <m:r>
              <w:rPr>
                <w:rFonts w:ascii="Times New Roman" w:hAnsi="Times New Roman" w:eastAsia="Times New Roman" w:cs="Times New Roman"/>
              </w:rPr>
              <m:t>2</m:t>
            </m:r>
          </m:sup>
        </m:sSup>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offline retraining is</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O</m:t>
        </m:r>
        <m:r>
          <m:rPr>
            <m:sty m:val="p"/>
          </m:rPr>
          <w:rPr>
            <w:rFonts w:ascii="Times New Roman" w:hAnsi="Times New Roman" w:eastAsia="Times New Roman" w:cs="Times New Roman"/>
          </w:rPr>
          <m:t>(</m:t>
        </m:r>
        <m:r>
          <w:rPr>
            <w:rFonts w:ascii="Times New Roman" w:hAnsi="Times New Roman" w:eastAsia="Times New Roman" w:cs="Times New Roman"/>
          </w:rPr>
          <m:t>q</m:t>
        </m:r>
        <m:sSup>
          <m:e>
            <m:r>
              <w:rPr>
                <w:rFonts w:ascii="Times New Roman" w:hAnsi="Times New Roman" w:eastAsia="Times New Roman" w:cs="Times New Roman"/>
              </w:rPr>
              <m:t>N</m:t>
            </m:r>
          </m:e>
          <m:sup>
            <m:r>
              <w:rPr>
                <w:rFonts w:ascii="Times New Roman" w:hAnsi="Times New Roman" w:eastAsia="Times New Roman" w:cs="Times New Roman"/>
              </w:rPr>
              <m:t>3</m:t>
            </m:r>
          </m:sup>
        </m:sSup>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3</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outputs. Three float32 Cholesky factors occupy approximately 3 MB; training arrays, coefficients, and kernel parameters occupy approximately 10–20 MB. The deployed JAX process has a larger runtime resident set (approximately 0.5–2 GB), but this does not grow with online operation because the dictionary is frozen.</w:t>
      </w:r>
    </w:p>
    <w:p>
      <w:pPr>
        <w:pStyle w:val="3"/>
        <w:jc w:val="left"/>
        <w:ind w:firstLine="420"/>
      </w:pPr>
      <w:r>
        <w:rPr>
          <w:rFonts w:ascii="Times New Roman" w:hAnsi="Times New Roman" w:eastAsia="Times New Roman" w:cs="Times New Roman"/>
          <w:sz w:val="20"/>
          <w:szCs w:val="20"/>
        </w:rPr>
        <w:t xml:space="preserve">The controlled sensitivity experiment uses five independent seeds. Each of the nine dictionary-size–corruption settings therefore comprises five seeded fit-and-evaluation runs (45 runs in total). Each run fits three scalar-output GPs, one for each component of</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giving 135 scalar GP fits. It then evaluates 200 held-out transitions and one 500-sample S3 closed-loop rollout. Corruption replaces 5% or 10% of selected training targets by signed three-training-standard-deviation offsets; it does not represent a measured plant bad-point rate.</w:t>
      </w:r>
    </w:p>
    <w:p>
      <w:pPr>
        <w:jc w:val="left"/>
        <w:spacing w:before="80" w:after="120"/>
        <w:keepLines/>
      </w:pPr>
      <w:r>
        <w:rPr>
          <w:rFonts w:ascii="Times New Roman" w:hAnsi="Times New Roman" w:eastAsia="Times New Roman" w:cs="Times New Roman"/>
          <w:sz w:val="20"/>
          <w:szCs w:val="20"/>
          <w:b/>
          <w:bCs/>
        </w:rPr>
        <w:t xml:space="preserve">Table S4. </w:t>
      </w:r>
      <w:r>
        <w:rPr>
          <w:rFonts w:ascii="Times New Roman" w:hAnsi="Times New Roman" w:eastAsia="Times New Roman" w:cs="Times New Roman"/>
          <w:sz w:val="20"/>
          <w:szCs w:val="20"/>
        </w:rPr>
        <w:t xml:space="preserve">GP quantity/quality sensitivity. NRMSE and interval coverage are averaged over outputs and seeds. Closed-loop columns aggregate 2500 native controller samples per cell.</w:t>
      </w:r>
    </w:p>
    <w:tbl>
      <w:tblPr>
        <w:tblStyle w:val="Table"/>
        <w:tblW w:type="dxa" w:w="8500"/>
        <w:tblLook w:firstRow="1" w:lastRow="0" w:firstColumn="0" w:lastColumn="0" w:noHBand="0" w:noVBand="0" w:val="0020"/>
        <w:tblCaption w:val="Table S4. GP quantity/quality sensitivity. NRMSE and interval coverage are averaged over outputs and seeds. Closed-loop columns aggregate 2500 native controller samples per cell."/>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250"/>
        <w:gridCol w:w="1250"/>
        <w:gridCol w:w="1250"/>
        <w:gridCol w:w="1250"/>
        <w:gridCol w:w="1250"/>
        <w:gridCol w:w="125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m:oMath>
              <m:r>
                <w:rPr>
                  <w:rFonts w:ascii="Times New Roman" w:hAnsi="Times New Roman" w:eastAsia="Times New Roman" w:cs="Times New Roman"/>
                </w:rPr>
                <m:t>N</m:t>
              </m:r>
            </m: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Target corruption</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Held-out NRMSE</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95% interval coverage</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rejection,</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0.00184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7.60%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0.00208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7.92%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0.00243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6.96%</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0.43547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96.87%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64.96%</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95.64%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0.37980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95.37%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1.32%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66.28%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98.64%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0.25700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97.33%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1.12%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66.88%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99.44%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0.49337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97.63%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1.28%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66.48%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98.76%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0.49015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99.36%</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0.42205</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96.80%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0.68%</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67.20%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99.88%</w:t>
            </w:r>
          </w:p>
        </w:tc>
      </w:tr>
    </w:tbl>
    <w:p>
      <w:pPr>
        <w:pStyle w:val="3"/>
        <w:jc w:val="left"/>
        <w:ind w:firstLine="420"/>
      </w:pPr>
      <w:r>
        <w:rPr>
          <w:rFonts w:ascii="Times New Roman" w:hAnsi="Times New Roman" w:eastAsia="Times New Roman" w:cs="Times New Roman"/>
          <w:sz w:val="20"/>
          <w:szCs w:val="20"/>
        </w:rPr>
        <w:t xml:space="preserve">The corrupted fits are deliberately evaluated without the pre-enable data-quality gate to expose the failure mode. Their inflated uncertainty tightens the QP until most candidates are rejected; the controller then uses the upstream proposal, producing the 64.96–67.20% violation rates in Table S4. In deployment, the held-out residual and QP-feasibility checks reject these models before they receive write authority.</w:t>
      </w:r>
    </w:p>
    <w:p>
      <w:pPr>
        <w:jc w:val="left"/>
        <w:spacing w:before="0" w:after="0"/>
      </w:pPr>
      <w:r>
        <w:rPr>
          <w:rFonts w:ascii="Times New Roman" w:hAnsi="Times New Roman" w:eastAsia="Times New Roman" w:cs="Times New Roman"/>
          <w:sz w:val="24"/>
          <w:szCs w:val="24"/>
          <w:color w:val="000000"/>
          <w:b/>
          <w:bCs/>
          <w:i/>
          <w:iCs/>
        </w:rPr>
        <w:t>4 Coverage Monitoring and Fallback State Machine</w:t>
      </w:r>
    </w:p>
    <w:p>
      <w:pPr>
        <w:pStyle w:val="11"/>
        <w:jc w:val="left"/>
        <w:ind w:firstLine="420"/>
      </w:pPr>
      <w:r>
        <w:rPr>
          <w:rFonts w:ascii="Times New Roman" w:hAnsi="Times New Roman" w:eastAsia="Times New Roman" w:cs="Times New Roman"/>
          <w:sz w:val="20"/>
          <w:szCs w:val="20"/>
        </w:rPr>
        <w:t xml:space="preserve">The online input-coverage statistic and standardized innovation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z</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k</m:t>
                        </m:r>
                      </m:sub>
                    </m:sSub>
                    <m:r>
                      <w:rPr>
                        <w:rFonts w:ascii="Times New Roman" w:hAnsi="Times New Roman" w:eastAsia="Times New Roman" w:cs="Times New Roman"/>
                      </w:rPr>
                      <m:t>&amp;</m:t>
                    </m:r>
                    <m:r>
                      <m:rPr>
                        <m:sty m:val="p"/>
                      </m:rPr>
                      <w:rPr>
                        <w:rFonts w:ascii="Times New Roman" w:hAnsi="Times New Roman" w:eastAsia="Times New Roman" w:cs="Times New Roman"/>
                      </w:rPr>
                      <m:t>=</m:t>
                    </m:r>
                    <m:f>
                      <m:fPr>
                        <m:type m:val="bar"/>
                      </m:fPr>
                      <m:num>
                        <m:sSubSup>
                          <m:e>
                            <m:r>
                              <w:rPr>
                                <w:rFonts w:ascii="Times New Roman" w:hAnsi="Times New Roman" w:eastAsia="Times New Roman" w:cs="Times New Roman"/>
                              </w:rPr>
                              <m:t>x</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sSubSup>
                          <m:e>
                            <m:r>
                              <w:rPr>
                                <w:rFonts w:ascii="Times New Roman" w:hAnsi="Times New Roman" w:eastAsia="Times New Roman" w:cs="Times New Roman"/>
                              </w:rPr>
                              <m:t>μ</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num>
                      <m:den>
                        <m:sSubSup>
                          <m:e>
                            <m:r>
                              <w:rPr>
                                <w:rFonts w:ascii="Times New Roman" w:hAnsi="Times New Roman" w:eastAsia="Times New Roman" w:cs="Times New Roman"/>
                              </w:rPr>
                              <m:t>s</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den>
                    </m:f>
                    <m:r>
                      <m:rPr>
                        <m:sty m:val="p"/>
                      </m:rPr>
                      <w:rPr>
                        <w:rFonts w:ascii="Times New Roman" w:hAnsi="Times New Roman" w:eastAsia="Times New Roman" w:cs="Times New Roman"/>
                      </w:rPr>
                      <m:t>,</m:t>
                    </m:r>
                  </m:e>
                  <m:e>
                    <m:sSub>
                      <m:e>
                        <m:r>
                          <w:rPr>
                            <w:rFonts w:ascii="Times New Roman" w:hAnsi="Times New Roman" w:eastAsia="Times New Roman" w:cs="Times New Roman"/>
                          </w:rPr>
                          <m:t>e</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f>
                      <m:fPr>
                        <m:type m:val="bar"/>
                      </m:fPr>
                      <m:num>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num>
                      <m:den>
                        <m:rad>
                          <m:radPr>
                            <m:degHide m:val="on"/>
                          </m:radPr>
                          <m:deg/>
                          <m:e>
                            <m:sSubSup>
                              <m:e>
                                <m:r>
                                  <w:rPr>
                                    <w:rFonts w:ascii="Times New Roman" w:hAnsi="Times New Roman" w:eastAsia="Times New Roman" w:cs="Times New Roman"/>
                                  </w:rPr>
                                  <m:t>σ</m:t>
                                </m:r>
                              </m:e>
                              <m:sub>
                                <m:r>
                                  <w:rPr>
                                    <w:rFonts w:ascii="Times New Roman" w:hAnsi="Times New Roman" w:eastAsia="Times New Roman" w:cs="Times New Roman"/>
                                  </w:rPr>
                                  <m:t>j</m:t>
                                </m:r>
                              </m:sub>
                              <m:sup>
                                <m:r>
                                  <w:rPr>
                                    <w:rFonts w:ascii="Times New Roman" w:hAnsi="Times New Roman" w:eastAsia="Times New Roman" w:cs="Times New Roman"/>
                                  </w:rPr>
                                  <m:t>2</m:t>
                                </m:r>
                              </m:sup>
                            </m:sSubSup>
                            <m:r>
                              <m:rPr>
                                <m:sty m:val="p"/>
                              </m:rPr>
                              <w:rPr>
                                <w:rFonts w:ascii="Times New Roman" w:hAnsi="Times New Roman" w:eastAsia="Times New Roman" w:cs="Times New Roman"/>
                              </w:rPr>
                              <m:t>(</m:t>
                            </m:r>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j</m:t>
                                </m:r>
                              </m:sub>
                              <m:sup>
                                <m:r>
                                  <w:rPr>
                                    <w:rFonts w:ascii="Times New Roman" w:hAnsi="Times New Roman" w:eastAsia="Times New Roman" w:cs="Times New Roman"/>
                                  </w:rPr>
                                  <m:t>2</m:t>
                                </m:r>
                              </m:sup>
                            </m:sSubSup>
                          </m:e>
                        </m:rad>
                      </m:den>
                    </m:f>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r</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f>
                      <m:fPr>
                        <m:type m:val="bar"/>
                      </m:fPr>
                      <m:num>
                        <m:sSub>
                          <m:e>
                            <m:r>
                              <w:rPr>
                                <w:rFonts w:ascii="Times New Roman" w:hAnsi="Times New Roman" w:eastAsia="Times New Roman" w:cs="Times New Roman"/>
                              </w:rPr>
                              <m:t>x</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k</m:t>
                            </m:r>
                          </m:sub>
                          <m:sup>
                            <m:r>
                              <m:rPr>
                                <m:sty m:val="p"/>
                              </m:rPr>
                              <w:rPr>
                                <w:rFonts w:ascii="Times New Roman" w:hAnsi="Times New Roman" w:eastAsia="Times New Roman" w:cs="Times New Roman"/>
                              </w:rPr>
                              <m:t>n</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sup>
                        </m:sSubSup>
                      </m:num>
                      <m:den>
                        <m:sSub>
                          <m:e>
                            <m:r>
                              <w:rPr>
                                <w:rFonts w:ascii="Times New Roman" w:hAnsi="Times New Roman" w:eastAsia="Times New Roman" w:cs="Times New Roman"/>
                              </w:rPr>
                              <m:t>T</m:t>
                            </m:r>
                          </m:e>
                          <m:sub>
                            <m:r>
                              <w:rPr>
                                <w:rFonts w:ascii="Times New Roman" w:hAnsi="Times New Roman" w:eastAsia="Times New Roman" w:cs="Times New Roman"/>
                              </w:rPr>
                              <m:t>s</m:t>
                            </m:r>
                          </m:sub>
                        </m:sSub>
                      </m:den>
                    </m:f>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(S3)</w:t>
            </w:r>
          </w:p>
        </w:tc>
      </w:tr>
    </w:tbl>
    <w:p>
      <w:pPr>
        <w:pStyle w:val="11"/>
        <w:jc w:val="left"/>
        <w:ind w:firstLine="420"/>
      </w:pPr>
      <w:r>
        <w:rPr>
          <w:rFonts w:ascii="Times New Roman" w:hAnsi="Times New Roman" w:eastAsia="Times New Roman" w:cs="Times New Roman"/>
          <w:sz w:val="20"/>
          <w:szCs w:val="20"/>
        </w:rPr>
        <w:t xml:space="preserve">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r</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w:rPr>
                <w:rFonts w:ascii="Times New Roman" w:hAnsi="Times New Roman" w:eastAsia="Times New Roman" w:cs="Times New Roman"/>
              </w:rPr>
              <m:t>j</m:t>
            </m:r>
          </m:sub>
        </m:sSub>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w:rPr>
                <w:rFonts w:ascii="Times New Roman" w:hAnsi="Times New Roman" w:eastAsia="Times New Roman" w:cs="Times New Roman"/>
              </w:rPr>
              <m:t>j</m:t>
            </m:r>
          </m:sub>
        </m:sSub>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j</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all have residual-rate units. Because the deployed sampling period 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s, this notation correction does not change the reported numerical thresholds.</w:t>
      </w:r>
    </w:p>
    <w:p>
      <w:pPr>
        <w:jc w:val="left"/>
        <w:spacing w:before="80" w:after="120"/>
        <w:keepLines/>
      </w:pPr>
      <w:r>
        <w:rPr>
          <w:rFonts w:ascii="Times New Roman" w:hAnsi="Times New Roman" w:eastAsia="Times New Roman" w:cs="Times New Roman"/>
          <w:sz w:val="20"/>
          <w:szCs w:val="20"/>
          <w:b/>
          <w:bCs/>
        </w:rPr>
        <w:t xml:space="preserve">Table S5. </w:t>
      </w:r>
      <w:r>
        <w:rPr>
          <w:rFonts w:ascii="Times New Roman" w:hAnsi="Times New Roman" w:eastAsia="Times New Roman" w:cs="Times New Roman"/>
          <w:sz w:val="20"/>
          <w:szCs w:val="20"/>
        </w:rPr>
        <w:t xml:space="preserve">GP coverage and degradation thresholds used by the deployed supervisor.</w:t>
      </w:r>
    </w:p>
    <w:tbl>
      <w:tblPr>
        <w:tblStyle w:val="Table"/>
        <w:tblW w:type="dxa" w:w="8500"/>
        <w:tblLook w:firstRow="1" w:lastRow="0" w:firstColumn="0" w:lastColumn="0" w:noHBand="0" w:noVBand="0" w:val="0020"/>
        <w:tblCaption w:val="Table S5. GP coverage and degradation thresholds used by the deployed supervisor."/>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2850"/>
        <w:gridCol w:w="285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Monitor</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Trigger</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Action</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Input coverage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z</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&gt;</m:t>
              </m:r>
              <m:r>
                <w:rPr>
                  <w:rFonts w:ascii="Times New Roman" w:hAnsi="Times New Roman" w:eastAsia="Times New Roman" w:cs="Times New Roman"/>
                </w:rPr>
                <m:t>3</m:t>
              </m:r>
            </m: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or outside the training 0.5th–99.5th percentile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Enter full-row nominal-HOCBF mode.</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Posterior uncertainty</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Above the validation-set 99th percentile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Withdraw GP mean correction.</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Standardized innovation</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e</m:t>
                  </m:r>
                </m:e>
                <m:sub>
                  <m:r>
                    <w:rPr>
                      <w:rFonts w:ascii="Times New Roman" w:hAnsi="Times New Roman" w:eastAsia="Times New Roman" w:cs="Times New Roman"/>
                    </w:rPr>
                    <m:t>j</m:t>
                  </m:r>
                </m:sub>
              </m:sSub>
              <m:r>
                <m:rPr>
                  <m:sty m:val="p"/>
                </m:rPr>
                <w:rPr>
                  <w:rFonts w:ascii="Times New Roman" w:hAnsi="Times New Roman" w:eastAsia="Times New Roman" w:cs="Times New Roman"/>
                </w:rPr>
                <m:t>&gt;</m:t>
              </m:r>
              <m:r>
                <w:rPr>
                  <w:rFonts w:ascii="Times New Roman" w:hAnsi="Times New Roman" w:eastAsia="Times New Roman" w:cs="Times New Roman"/>
                </w:rPr>
                <m:t>3</m:t>
              </m:r>
            </m: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for three cycles</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Withdraw GP mean correction and alarm.</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Severe innovation</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e</m:t>
                  </m:r>
                </m:e>
                <m:sub>
                  <m:r>
                    <w:rPr>
                      <w:rFonts w:ascii="Times New Roman" w:hAnsi="Times New Roman" w:eastAsia="Times New Roman" w:cs="Times New Roman"/>
                    </w:rPr>
                    <m:t>j</m:t>
                  </m:r>
                </m:sub>
              </m:sSub>
              <m:r>
                <m:rPr>
                  <m:sty m:val="p"/>
                </m:rPr>
                <w:rPr>
                  <w:rFonts w:ascii="Times New Roman" w:hAnsi="Times New Roman" w:eastAsia="Times New Roman" w:cs="Times New Roman"/>
                </w:rPr>
                <m:t>&gt;</m:t>
              </m:r>
              <m:r>
                <w:rPr>
                  <w:rFonts w:ascii="Times New Roman" w:hAnsi="Times New Roman" w:eastAsia="Times New Roman" w:cs="Times New Roman"/>
                </w:rPr>
                <m:t>5</m:t>
              </m:r>
            </m: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once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Immediate live-DCS bypass.</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Persistent OOD</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More than 1% of cycles in one hour</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Create an offline recalibration task.</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Recovery</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Ten consecutive cycles with valid input, innovation, and variance checks</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Permit GP-mode recovery subject to controller authorization.</w:t>
            </w:r>
          </w:p>
        </w:tc>
      </w:tr>
    </w:tbl>
    <w:p>
      <w:pPr>
        <w:pStyle w:val="3"/>
        <w:jc w:val="left"/>
        <w:ind w:firstLine="420"/>
      </w:pPr>
      <w:r>
        <w:rPr>
          <w:rFonts w:ascii="Times New Roman" w:hAnsi="Times New Roman" w:eastAsia="Times New Roman" w:cs="Times New Roman"/>
          <w:sz w:val="20"/>
          <w:szCs w:val="20"/>
        </w:rPr>
        <w:t xml:space="preserve">Moderate coverage loss follows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r>
                      <m:rPr>
                        <m:nor/>
                        <m:sty m:val="p"/>
                      </m:rPr>
                      <w:rPr>
                        <w:rFonts w:ascii="Times New Roman" w:hAnsi="Times New Roman" w:eastAsia="Times New Roman" w:cs="Times New Roman"/>
                      </w:rPr>
                      <m:t>GP-RoCBF-SF</m:t>
                    </m:r>
                    <m:r>
                      <w:rPr>
                        <w:rFonts w:ascii="Times New Roman" w:hAnsi="Times New Roman" w:eastAsia="Times New Roman" w:cs="Times New Roman"/>
                      </w:rPr>
                      <m:t>&amp;</m:t>
                    </m:r>
                    <m:r>
                      <m:rPr>
                        <m:sty m:val="p"/>
                      </m:rPr>
                      <w:rPr>
                        <w:rFonts w:ascii="Times New Roman" w:hAnsi="Times New Roman" w:eastAsia="Times New Roman" w:cs="Times New Roman"/>
                      </w:rPr>
                      <m:t>→</m:t>
                    </m:r>
                    <m:r>
                      <m:rPr>
                        <m:nor/>
                        <m:sty m:val="p"/>
                      </m:rPr>
                      <w:rPr>
                        <w:rFonts w:ascii="Times New Roman" w:hAnsi="Times New Roman" w:eastAsia="Times New Roman" w:cs="Times New Roman"/>
                      </w:rPr>
                      <m:t>nominal HOCBF</m:t>
                    </m:r>
                    <m:r>
                      <w:rPr>
                        <w:rFonts w:ascii="Times New Roman" w:hAnsi="Times New Roman" w:eastAsia="Times New Roman" w:cs="Times New Roman"/>
                      </w:rPr>
                      <m:t> </m:t>
                    </m:r>
                    <m:r>
                      <m:rPr>
                        <m:sty m:val="p"/>
                      </m:rPr>
                      <w:rPr>
                        <w:rFonts w:ascii="Times New Roman" w:hAnsi="Times New Roman" w:eastAsia="Times New Roman" w:cs="Times New Roman"/>
                      </w:rPr>
                      <m:t>(</m:t>
                    </m:r>
                    <m:r>
                      <m:rPr>
                        <m:nor/>
                        <m:sty m:val="p"/>
                      </m:rPr>
                      <w:rPr>
                        <w:rFonts w:ascii="Times New Roman" w:hAnsi="Times New Roman" w:eastAsia="Times New Roman" w:cs="Times New Roman"/>
                      </w:rPr>
                      <m:t>for at most 10 cycles</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r>
                      <m:rPr>
                        <m:nor/>
                        <m:sty m:val="p"/>
                      </m:rPr>
                      <w:rPr>
                        <w:rFonts w:ascii="Times New Roman" w:hAnsi="Times New Roman" w:eastAsia="Times New Roman" w:cs="Times New Roman"/>
                      </w:rPr>
                      <m:t>nominal HOCBF</m:t>
                    </m:r>
                    <m:r>
                      <w:rPr>
                        <w:rFonts w:ascii="Times New Roman" w:hAnsi="Times New Roman" w:eastAsia="Times New Roman" w:cs="Times New Roman"/>
                      </w:rPr>
                      <m:t>&amp;</m:t>
                    </m:r>
                    <m:r>
                      <m:rPr>
                        <m:sty m:val="p"/>
                      </m:rPr>
                      <w:rPr>
                        <w:rFonts w:ascii="Times New Roman" w:hAnsi="Times New Roman" w:eastAsia="Times New Roman" w:cs="Times New Roman"/>
                      </w:rPr>
                      <m:t>→</m:t>
                    </m:r>
                    <m:r>
                      <m:rPr>
                        <m:nor/>
                        <m:sty m:val="p"/>
                      </m:rPr>
                      <w:rPr>
                        <w:rFonts w:ascii="Times New Roman" w:hAnsi="Times New Roman" w:eastAsia="Times New Roman" w:cs="Times New Roman"/>
                      </w:rPr>
                      <m:t>GP-RoCBF-SF</m:t>
                    </m:r>
                    <m:r>
                      <w:rPr>
                        <w:rFonts w:ascii="Times New Roman" w:hAnsi="Times New Roman" w:eastAsia="Times New Roman" w:cs="Times New Roman"/>
                      </w:rPr>
                      <m:t> </m:t>
                    </m:r>
                    <m:r>
                      <m:rPr>
                        <m:sty m:val="p"/>
                      </m:rPr>
                      <w:rPr>
                        <w:rFonts w:ascii="Times New Roman" w:hAnsi="Times New Roman" w:eastAsia="Times New Roman" w:cs="Times New Roman"/>
                      </w:rPr>
                      <m:t>(</m:t>
                    </m:r>
                    <m:r>
                      <m:rPr>
                        <m:nor/>
                        <m:sty m:val="p"/>
                      </m:rPr>
                      <w:rPr>
                        <w:rFonts w:ascii="Times New Roman" w:hAnsi="Times New Roman" w:eastAsia="Times New Roman" w:cs="Times New Roman"/>
                      </w:rPr>
                      <m:t>after 10 healthy cycles</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r>
                      <m:rPr>
                        <m:nor/>
                        <m:sty m:val="p"/>
                      </m:rPr>
                      <w:rPr>
                        <w:rFonts w:ascii="Times New Roman" w:hAnsi="Times New Roman" w:eastAsia="Times New Roman" w:cs="Times New Roman"/>
                      </w:rPr>
                      <m:t>nominal HOCBF</m:t>
                    </m:r>
                    <m:r>
                      <w:rPr>
                        <w:rFonts w:ascii="Times New Roman" w:hAnsi="Times New Roman" w:eastAsia="Times New Roman" w:cs="Times New Roman"/>
                      </w:rPr>
                      <m:t>&amp;</m:t>
                    </m:r>
                    <m:r>
                      <m:rPr>
                        <m:sty m:val="p"/>
                      </m:rPr>
                      <w:rPr>
                        <w:rFonts w:ascii="Times New Roman" w:hAnsi="Times New Roman" w:eastAsia="Times New Roman" w:cs="Times New Roman"/>
                      </w:rPr>
                      <m:t>→</m:t>
                    </m:r>
                    <m:r>
                      <m:rPr>
                        <m:nor/>
                        <m:sty m:val="p"/>
                      </m:rPr>
                      <w:rPr>
                        <w:rFonts w:ascii="Times New Roman" w:hAnsi="Times New Roman" w:eastAsia="Times New Roman" w:cs="Times New Roman"/>
                      </w:rPr>
                      <m:t>BYPASS</m:t>
                    </m:r>
                    <m:r>
                      <m:rPr>
                        <m:sty m:val="p"/>
                      </m:rPr>
                      <w:rPr>
                        <w:rFonts w:ascii="Times New Roman" w:hAnsi="Times New Roman" w:eastAsia="Times New Roman" w:cs="Times New Roman"/>
                      </w:rPr>
                      <m:t>→</m:t>
                    </m:r>
                    <m:r>
                      <m:rPr>
                        <m:nor/>
                        <m:sty m:val="p"/>
                      </m:rPr>
                      <w:rPr>
                        <w:rFonts w:ascii="Times New Roman" w:hAnsi="Times New Roman" w:eastAsia="Times New Roman" w:cs="Times New Roman"/>
                      </w:rPr>
                      <m:t>live DCS</m:t>
                    </m:r>
                    <m:r>
                      <w:rPr>
                        <w:rFonts w:ascii="Times New Roman" w:hAnsi="Times New Roman" w:eastAsia="Times New Roman" w:cs="Times New Roman"/>
                      </w:rPr>
                      <m:t> </m:t>
                    </m:r>
                    <m:r>
                      <m:rPr>
                        <m:sty m:val="p"/>
                      </m:rPr>
                      <w:rPr>
                        <w:rFonts w:ascii="Times New Roman" w:hAnsi="Times New Roman" w:eastAsia="Times New Roman" w:cs="Times New Roman"/>
                      </w:rPr>
                      <m:t>(</m:t>
                    </m:r>
                    <m:r>
                      <m:rPr>
                        <m:nor/>
                        <m:sty m:val="p"/>
                      </m:rPr>
                      <w:rPr>
                        <w:rFonts w:ascii="Times New Roman" w:hAnsi="Times New Roman" w:eastAsia="Times New Roman" w:cs="Times New Roman"/>
                      </w:rPr>
                      <m:t>otherwise</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(S4)</w:t>
            </w:r>
          </w:p>
        </w:tc>
      </w:tr>
    </w:tbl>
    <w:p>
      <w:pPr>
        <w:pStyle w:val="11"/>
        <w:jc w:val="left"/>
        <w:ind w:firstLine="420"/>
      </w:pPr>
      <w:r>
        <w:rPr>
          <w:rFonts w:ascii="Times New Roman" w:hAnsi="Times New Roman" w:eastAsia="Times New Roman" w:cs="Times New Roman"/>
          <w:sz w:val="20"/>
          <w:szCs w:val="20"/>
        </w:rPr>
        <w:t xml:space="preserve">Invalid measurements or communication, non-finite/model-load faults, nominal-QP or actuator-constraint infeasibility, a direct physical-bound exceedance, pressure-low physical margin below 2.0 MPa, or a QP/task timeout bypasses the bounded degraded stage immediately. The nominal-HOCBF interval has no GP coverage claim.</w:t>
      </w:r>
    </w:p>
    <w:p>
      <w:pPr>
        <w:pStyle w:val="3"/>
        <w:jc w:val="left"/>
        <w:ind w:firstLine="420"/>
      </w:pPr>
      <w:r>
        <w:rPr>
          <w:rFonts w:ascii="Times New Roman" w:hAnsi="Times New Roman" w:eastAsia="Times New Roman" w:cs="Times New Roman"/>
          <w:sz w:val="20"/>
          <w:szCs w:val="20"/>
        </w:rPr>
        <w:t xml:space="preserve">An initially infeasible QP permits one reduced-QP retry only for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Let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S</m:t>
            </m:r>
          </m:e>
          <m:sub>
            <m:r>
              <w:rPr>
                <w:rFonts w:ascii="Times New Roman" w:hAnsi="Times New Roman" w:eastAsia="Times New Roman" w:cs="Times New Roman"/>
              </w:rPr>
              <m:t>u</m:t>
            </m:r>
          </m:sub>
        </m:sSub>
        <m:acc>
          <m:accPr>
            <m:chr m:val="̃"/>
          </m:accPr>
          <m:e>
            <m:r>
              <w:rPr>
                <w:rFonts w:ascii="Times New Roman" w:hAnsi="Times New Roman" w:eastAsia="Times New Roman" w:cs="Times New Roman"/>
              </w:rPr>
              <m:t>v</m:t>
            </m:r>
          </m:e>
        </m:acc>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acc>
              <m:accPr>
                <m:chr m:val="̃"/>
              </m:accPr>
              <m:e>
                <m:r>
                  <w:rPr>
                    <w:rFonts w:ascii="Times New Roman" w:hAnsi="Times New Roman" w:eastAsia="Times New Roman" w:cs="Times New Roman"/>
                  </w:rPr>
                  <m:t>G</m:t>
                </m:r>
              </m:e>
            </m:acc>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i</m:t>
            </m:r>
          </m:sub>
        </m:sSub>
        <m:sSub>
          <m:e>
            <m:r>
              <w:rPr>
                <w:rFonts w:ascii="Times New Roman" w:hAnsi="Times New Roman" w:eastAsia="Times New Roman" w:cs="Times New Roman"/>
              </w:rPr>
              <m:t>S</m:t>
            </m:r>
          </m:e>
          <m:sub>
            <m:r>
              <w:rPr>
                <w:rFonts w:ascii="Times New Roman" w:hAnsi="Times New Roman" w:eastAsia="Times New Roman" w:cs="Times New Roman"/>
              </w:rPr>
              <m:t>u</m:t>
            </m:r>
          </m:sub>
        </m:sSub>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G</m:t>
                </m:r>
              </m:e>
            </m:acc>
          </m:e>
          <m:sub>
            <m:r>
              <w:rPr>
                <w:rFonts w:ascii="Times New Roman" w:hAnsi="Times New Roman" w:eastAsia="Times New Roman" w:cs="Times New Roman"/>
              </w:rPr>
              <m:t>i</m:t>
            </m:r>
          </m:sub>
        </m:sSub>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Row removal requires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w:rPr>
                    <w:rFonts w:ascii="Times New Roman" w:hAnsi="Times New Roman" w:eastAsia="Times New Roman" w:cs="Times New Roman"/>
                  </w:rPr>
                  <m:t>i</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pressure_low</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a</m:t>
                    </m:r>
                  </m:e>
                  <m:sub>
                    <m:r>
                      <w:rPr>
                        <w:rFonts w:ascii="Times New Roman" w:hAnsi="Times New Roman" w:eastAsia="Times New Roman" w:cs="Times New Roman"/>
                      </w:rPr>
                      <m:t>i</m:t>
                    </m:r>
                  </m:sub>
                </m:sSub>
                <m:r>
                  <m:rPr>
                    <m:sty m:val="p"/>
                  </m:rPr>
                  <w:rPr>
                    <w:rFonts w:ascii="Times New Roman" w:hAnsi="Times New Roman" w:eastAsia="Times New Roman" w:cs="Times New Roman"/>
                  </w:rPr>
                  <m:t>&lt;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i</m:t>
                    </m:r>
                  </m:sub>
                </m:sSub>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r>
                  <m:rPr>
                    <m:sty m:val="p"/>
                  </m:rPr>
                  <w:rPr>
                    <w:rFonts w:ascii="Times New Roman" w:hAnsi="Times New Roman" w:eastAsia="Times New Roman" w:cs="Times New Roman"/>
                  </w:rPr>
                  <m:t>≥</m:t>
                </m:r>
                <m:r>
                  <w:rPr>
                    <w:rFonts w:ascii="Times New Roman" w:hAnsi="Times New Roman" w:eastAsia="Times New Roman" w:cs="Times New Roman"/>
                  </w:rPr>
                  <m:t>2.0</m:t>
                </m:r>
                <m:r>
                  <w:rPr>
                    <w:rFonts w:ascii="Times New Roman" w:hAnsi="Times New Roman" w:eastAsia="Times New Roman" w:cs="Times New Roman"/>
                  </w:rPr>
                  <m:t> </m:t>
                </m:r>
                <m:r>
                  <m:rPr>
                    <m:sty m:val="p"/>
                  </m:rPr>
                  <w:rPr>
                    <w:rFonts w:ascii="Times New Roman" w:hAnsi="Times New Roman" w:eastAsia="Times New Roman" w:cs="Times New Roman"/>
                  </w:rPr>
                  <m:t>M</m:t>
                </m:r>
                <m:r>
                  <m:rPr>
                    <m:sty m:val="p"/>
                  </m:rPr>
                  <w:rPr>
                    <w:rFonts w:ascii="Times New Roman" w:hAnsi="Times New Roman" w:eastAsia="Times New Roman" w:cs="Times New Roman"/>
                  </w:rPr>
                  <m:t>P</m:t>
                </m:r>
                <m:r>
                  <m:rPr>
                    <m:sty m:val="p"/>
                  </m:rPr>
                  <w:rPr>
                    <w:rFonts w:ascii="Times New Roman" w:hAnsi="Times New Roman" w:eastAsia="Times New Roman" w:cs="Times New Roman"/>
                  </w:rPr>
                  <m:t>a</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(S5)</w:t>
            </w:r>
          </w:p>
        </w:tc>
      </w:tr>
    </w:tbl>
    <w:p>
      <w:pPr>
        <w:pStyle w:val="11"/>
        <w:jc w:val="left"/>
        <w:ind w:firstLine="420"/>
      </w:pPr>
      <w:r>
        <w:rPr>
          <w:rFonts w:ascii="Times New Roman" w:hAnsi="Times New Roman" w:eastAsia="Times New Roman" w:cs="Times New Roman"/>
          <w:sz w:val="20"/>
          <w:szCs w:val="20"/>
        </w:rPr>
        <w:t xml:space="preserve">with valid measurements and no active protection or interlock. The authority norm is evaluated after actuator normalization but before unit-row scaling. No actuator box/rate row or second CBF row can be removed, and only one retry is permitted. A successful reduced QP is reported as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it is outside the full-row certificate.</w:t>
      </w:r>
    </w:p>
    <w:p>
      <w:pPr>
        <w:pStyle w:val="3"/>
        <w:jc w:val="left"/>
        <w:ind w:firstLine="420"/>
      </w:pPr>
      <w:r>
        <w:rPr>
          <w:rFonts w:ascii="Times New Roman" w:hAnsi="Times New Roman" w:eastAsia="Times New Roman" w:cs="Times New Roman"/>
          <w:sz w:val="20"/>
          <w:szCs w:val="20"/>
        </w:rPr>
        <w:t xml:space="preserve">The deployed task deadline is 1000 ms, equal to the controller period. The field QP timeout is 200 ms. A timeout, non-finite result, or failed retry returns the current live DCS command rather than the previous algorithm command. Three consecutive solve failures, communication loss beyond 3 s, a process restart, or a model-load fault latches bypass. Re-entry requires valid measurements, heartbeats, and dry-run QPs for ten cycles, DCS automatic mode, inactive protection/interlocks, operator reset acknowledgement, and the active Kubernetes lease. A 10 s linear blend is then used for bumpless transfer, provided the QP and DCS commands differ by no more than 2% of actuator range and both lie in the current feasible set.</w:t>
      </w:r>
    </w:p>
    <w:p>
      <w:pPr>
        <w:pStyle w:val="3"/>
        <w:jc w:val="left"/>
        <w:ind w:firstLine="420"/>
      </w:pPr>
      <w:r>
        <w:rPr>
          <w:rFonts w:ascii="Times New Roman" w:hAnsi="Times New Roman" w:eastAsia="Times New Roman" w:cs="Times New Roman"/>
          <w:sz w:val="20"/>
          <w:szCs w:val="20"/>
        </w:rPr>
        <w:t xml:space="preserve">Kubernetes uses a 3 s Lease renewed every 1 s. Only the lease holder may assert the local write permit; standby Pods connect to Modbus TCP read-only. The DCS remains the final write-permission owner and requires enable, automatic mode, no manual mode, valid echoed heartbeat with age no greater than 2 s, active lease ownership, and a fresh command sequence. Loss of any condition selects the live coordinated-control command.</w:t>
      </w:r>
    </w:p>
    <w:p>
      <w:pPr>
        <w:jc w:val="left"/>
        <w:spacing w:before="0" w:after="0"/>
      </w:pPr>
      <w:r>
        <w:rPr>
          <w:rFonts w:ascii="Times New Roman" w:hAnsi="Times New Roman" w:eastAsia="Times New Roman" w:cs="Times New Roman"/>
          <w:sz w:val="24"/>
          <w:szCs w:val="24"/>
          <w:color w:val="000000"/>
          <w:b/>
          <w:bCs/>
          <w:i/>
          <w:iCs/>
        </w:rPr>
        <w:t>5 Plant Historian and Controller-Export Evidence</w:t>
      </w:r>
    </w:p>
    <w:p>
      <w:pPr>
        <w:pStyle w:val="11"/>
        <w:jc w:val="left"/>
        <w:ind w:firstLine="420"/>
      </w:pPr>
      <w:r>
        <w:rPr>
          <w:rFonts w:ascii="Times New Roman" w:hAnsi="Times New Roman" w:eastAsia="Times New Roman" w:cs="Times New Roman"/>
          <w:sz w:val="20"/>
          <w:szCs w:val="20"/>
        </w:rPr>
        <w:t xml:space="preserve">The public production-evidence index separates historian context from controller execution. MW01–MW03 are post-retrofit low-to-mid-load historian windows used only to position measured load and main-steam pressure in the operating-envelope figure; they do not supply controller-internal QP fields. MW04–MW06 are confirmed two-hour plant-controller exports covering 480.7–629.7 MW. Each contains 1440 records at 5 s export spacing from a controller executing at 1 s, giving 4320 exported records rather than 4320 controller cycles. These exports directly support the timestamps, operating mode, QP/recovery status, logged margins, saturation flags, and timing statistics reported below. GP lifecycle, Kubernetes lease ownership, heartbeat/sequence checks, and DCS write-permission rules are deployment-configuration specifications; the exports do not expose every internal handshake transition.</w:t>
      </w:r>
    </w:p>
    <w:p>
      <w:pPr>
        <w:pStyle w:val="3"/>
        <w:jc w:val="left"/>
        <w:ind w:firstLine="420"/>
      </w:pPr>
      <w:r>
        <w:rPr>
          <w:rFonts w:ascii="Times New Roman" w:hAnsi="Times New Roman" w:eastAsia="Times New Roman" w:cs="Times New Roman"/>
          <w:sz w:val="20"/>
          <w:szCs w:val="20"/>
        </w:rPr>
        <w:t xml:space="preserve">The confirmed controller/historian mappings used in the revision are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w:rPr>
            <w:rFonts w:ascii="Times New Roman" w:hAnsi="Times New Roman" w:eastAsia="Times New Roman" w:cs="Times New Roman"/>
          </w:rPr>
          <m:t>E</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20CQTP_MW</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DCS2_20HAG10CP101</m:t>
        </m:r>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w:rPr>
            <w:rFonts w:ascii="Times New Roman" w:hAnsi="Times New Roman" w:eastAsia="Times New Roman" w:cs="Times New Roman"/>
          </w:rPr>
          <m:t>M</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DCS2_SEPARATOUT_ENTH</m:t>
        </m:r>
      </m:oMath>
      <w:r>
        <w:rPr>
          <w:rFonts w:ascii="Times New Roman" w:hAnsi="Times New Roman" w:eastAsia="Times New Roman" w:cs="Times New Roman"/>
          <w:sz w:val="20"/>
          <w:szCs w:val="20"/>
        </w:rPr>
        <w:t xml:space="preserve">. The independent tag</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DCS2_MAIN_PRESS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main-steam pressure. The exported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value is a main-steam-pressure replay bound, not the separator-pressure upper limit.</w:t>
      </w:r>
    </w:p>
    <w:p>
      <w:pPr>
        <w:jc w:val="left"/>
        <w:spacing w:before="80" w:after="120"/>
        <w:keepLines/>
      </w:pPr>
      <w:r>
        <w:rPr>
          <w:rFonts w:ascii="Times New Roman" w:hAnsi="Times New Roman" w:eastAsia="Times New Roman" w:cs="Times New Roman"/>
          <w:sz w:val="20"/>
          <w:szCs w:val="20"/>
          <w:b/>
          <w:bCs/>
        </w:rPr>
        <w:t xml:space="preserve">Table S6. </w:t>
      </w:r>
      <w:r>
        <w:rPr>
          <w:rFonts w:ascii="Times New Roman" w:hAnsi="Times New Roman" w:eastAsia="Times New Roman" w:cs="Times New Roman"/>
          <w:sz w:val="20"/>
          <w:szCs w:val="20"/>
        </w:rPr>
        <w:t xml:space="preserve">High-load controller-export evidence. Direct margins are minima over all 1440 records in each window.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no fallback or saturation event.</w:t>
      </w:r>
    </w:p>
    <w:tbl>
      <w:tblPr>
        <w:tblStyle w:val="Table"/>
        <w:tblW w:type="dxa" w:w="8500"/>
        <w:tblLook w:firstRow="1" w:lastRow="0" w:firstColumn="0" w:lastColumn="0" w:noHBand="0" w:noVBand="0" w:val="0020"/>
        <w:tblCaption w:val="Table S6. High-load controller-export evidence. Direct margins are minima over all 1440 records in each window.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250"/>
        <w:gridCol w:w="1250"/>
        <w:gridCol w:w="1250"/>
        <w:gridCol w:w="1250"/>
        <w:gridCol w:w="1250"/>
        <w:gridCol w:w="125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Window</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Load (MW)</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Sep.-pressure low margin (MPa)</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Main-pressure high margin (MPa)</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Nearest enthalpy margin (kJ/kg)</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QP/recovery record</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MW04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563.0–621.2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2.217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2.173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62.284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1397 optimal; 43 recovered; 1 fuel-sat.</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MW05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547.9–629.7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3.438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1.483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20.354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1440 optimal; none</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MW06</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480.7–619.3</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2.705</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0.463</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0.359</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1440 optimal; none</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4.062 / 26.159</w:t>
            </w:r>
          </w:p>
        </w:tc>
      </w:tr>
    </w:tbl>
    <w:p>
      <w:pPr>
        <w:pStyle w:val="3"/>
        <w:jc w:val="left"/>
        <w:ind w:firstLine="420"/>
      </w:pPr>
      <w:r>
        <w:rPr>
          <w:rFonts w:ascii="Times New Roman" w:hAnsi="Times New Roman" w:eastAsia="Times New Roman" w:cs="Times New Roman"/>
          <w:sz w:val="20"/>
          <w:szCs w:val="20"/>
        </w:rPr>
        <w:t xml:space="preserve">All 43 MW04 recovery records have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FB_RSN=weak_authority_constraint_drop</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ACT_CSTR=pressure_low</w:t>
      </w:r>
      <w:r>
        <w:rPr>
          <w:rFonts w:ascii="Times New Roman" w:hAnsi="Times New Roman" w:eastAsia="Times New Roman" w:cs="Times New Roman"/>
          <w:sz w:val="20"/>
          <w:szCs w:val="20"/>
        </w:rPr>
        <w:t xml:space="preserve">, and negative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MG_PLO</w:t>
      </w:r>
      <w:r>
        <w:rPr>
          <w:rFonts w:ascii="Times New Roman" w:hAnsi="Times New Roman" w:eastAsia="Times New Roman" w:cs="Times New Roman"/>
          <w:sz w:val="20"/>
          <w:szCs w:val="20"/>
        </w:rPr>
        <w:t xml:space="preserve">. The diagnostic row ranges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-0.03266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-0.00561</w:t>
      </w:r>
      <w:r>
        <w:rPr>
          <w:rFonts w:ascii="Times New Roman" w:hAnsi="Times New Roman" w:eastAsia="Times New Roman" w:cs="Times New Roman"/>
          <w:sz w:val="20"/>
          <w:szCs w:val="20"/>
        </w:rPr>
        <w:t xml:space="preserve">, while the direct physical margin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ranges from 2.21654 to 2.36306 MPa and the other five exported HOCBF margins remain positive. MW05–MW06 contain no reduced-QP record. Across MW04–MW06, QP time has median/p95/maximum values 3.557/4.095/6.234 ms, and total task time has corresponding values 24.564/26.183/28.665 ms.</w:t>
      </w:r>
    </w:p>
    <w:p>
      <w:pPr>
        <w:pStyle w:val="3"/>
        <w:jc w:val="left"/>
        <w:ind w:firstLine="420"/>
      </w:pPr>
      <w:r>
        <w:rPr>
          <w:rFonts w:ascii="Times New Roman" w:hAnsi="Times New Roman" w:eastAsia="Times New Roman" w:cs="Times New Roman"/>
          <w:sz w:val="20"/>
          <w:szCs w:val="20"/>
        </w:rPr>
        <w:t xml:space="preserve">The plant value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fixed after training-block replay and passes the one-pass time-isolated validation gate without retuning; it is not copied from the benchmark S3 selection. Record-level plant replay remains a restricted enterprise asset and is not inferred from the high-load controller exports. The original PID gains, output limits, anti-windup, sliding-pressure curve, coordinated-control logic, and fuel/feedwater/turbine-valve base loops are unchanged; RoCBF-SF is added downstream with enable, bypass, heartbeat, command-quality, and DCS-selection logic. The outage also includes instrument calibration, actuator inspection, combustion-equipment maintenance, and heat-surface cleaning, so the historian before/after comparison is observational. The controller exports separately establish that the proposed filter executed after restart.</w:t>
      </w:r>
    </w:p>
    <w:p>
      <w:pPr>
        <w:pStyle w:val="3"/>
        <w:jc w:val="left"/>
        <w:ind w:firstLine="420"/>
      </w:pPr>
      <w:r>
        <w:rPr>
          <w:rFonts w:ascii="Times New Roman" w:hAnsi="Times New Roman" w:eastAsia="Times New Roman" w:cs="Times New Roman"/>
          <w:sz w:val="20"/>
          <w:szCs w:val="20"/>
        </w:rPr>
        <w:t xml:space="preserve">The public reproducibility package contains source code, simulation results, derived historian metrics, bounded controller-export excerpts, field maps, and source/public hashes. Complete raw historian and original controller exports are enterprise assets. Qualified researchers may request restricted access from the corresponding author, subject to data-owner approval and the applicable data-use conditions.</w:t>
      </w:r>
    </w:p>
    <w:p>
      <w:pPr>
        <w:jc w:val="left"/>
        <w:spacing w:before="0" w:after="0"/>
      </w:pPr>
      <w:r>
        <w:rPr>
          <w:rFonts w:ascii="Times New Roman" w:hAnsi="Times New Roman" w:eastAsia="Times New Roman" w:cs="Times New Roman"/>
          <w:sz w:val="24"/>
          <w:szCs w:val="24"/>
          <w:color w:val="000000"/>
          <w:b/>
          <w:bCs/>
          <w:i/>
          <w:iCs/>
        </w:rPr>
        <w:t>6 Computation and Sampled-Data Boundary</w:t>
      </w:r>
    </w:p>
    <w:p>
      <w:pPr>
        <w:pStyle w:val="11"/>
        <w:jc w:val="left"/>
        <w:ind w:firstLine="420"/>
      </w:pPr>
      <w:r>
        <w:rPr>
          <w:rFonts w:ascii="Times New Roman" w:hAnsi="Times New Roman" w:eastAsia="Times New Roman" w:cs="Times New Roman"/>
          <w:sz w:val="20"/>
          <w:szCs w:val="20"/>
        </w:rPr>
        <w:t xml:space="preserve">The NMPC reference uses a warm-started SLSQP solve with horizon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m:t>
        </m:r>
      </m:oMath>
      <w:r>
        <w:rPr>
          <w:rFonts w:ascii="Times New Roman" w:hAnsi="Times New Roman" w:eastAsia="Times New Roman" w:cs="Times New Roman"/>
          <w:sz w:val="20"/>
          <w:szCs w:val="20"/>
        </w:rPr>
        <w:t xml:space="preserve">, output weights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0.001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input weights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deviation-input bounds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r>
          <w:rPr>
            <w:rFonts w:ascii="Times New Roman" w:hAnsi="Times New Roman" w:eastAsia="Times New Roman" w:cs="Times New Roman"/>
          </w:rPr>
          <m:t>10</m:t>
        </m:r>
        <m:sSup>
          <m:e>
            <m:r>
              <m:rPr>
                <m:sty m:val="p"/>
              </m:rPr>
              <w:rPr>
                <w:rFonts w:ascii="Times New Roman" w:hAnsi="Times New Roman" w:eastAsia="Times New Roman" w:cs="Times New Roman"/>
              </w:rPr>
              <m:t>]</m:t>
            </m:r>
          </m:e>
          <m:sup>
            <m:r>
              <w:rPr>
                <w:rFonts w:ascii="Times New Roman" w:hAnsi="Times New Roman" w:eastAsia="Times New Roman" w:cs="Times New Roman"/>
              </w:rPr>
              <m:t>3</m:t>
            </m:r>
          </m:sup>
        </m:sSup>
      </m:oMath>
      <w:r>
        <w:rPr>
          <w:rFonts w:ascii="Times New Roman" w:hAnsi="Times New Roman" w:eastAsia="Times New Roman" w:cs="Times New Roman"/>
          <w:sz w:val="20"/>
          <w:szCs w:val="20"/>
        </w:rPr>
        <w:t xml:space="preserve">, six prediction constraints, additive disturbance correction with gain 0.5,</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m:oMath>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All 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solves converge and pass the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prediction-residual check. Mean per-step solve time ranges from 3.50 ms in the nominal case to 31.99 ms in the tested perturbation scenarios. These values describe the implemented reference rather than an optimized industrial MPC package.</w:t>
      </w:r>
    </w:p>
    <w:p>
      <w:pPr>
        <w:pStyle w:val="3"/>
        <w:jc w:val="left"/>
        <w:ind w:firstLine="420"/>
      </w:pPr>
      <w:r>
        <w:rPr>
          <w:rFonts w:ascii="Times New Roman" w:hAnsi="Times New Roman" w:eastAsia="Times New Roman" w:cs="Times New Roman"/>
          <w:sz w:val="20"/>
          <w:szCs w:val="20"/>
        </w:rPr>
        <w:t xml:space="preserve">The theorem is continuous-time. The controller applies zero-order hold with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s because 1 s is the deployed coordinated-control task period; the safety filter therefore evaluates each upstream command update before the command-selection stage. This implementation choice does not assign a 1 s time constant to the slower boiler thermal dynamics. The field exports retain one record every 5 s, so their spacing is a logging interval rather than the internal control period. Field task timing establishes computational fit within the 1 s period but does not establish inter-sample forward invariance. Theorem 1 therefore is not presented as a sampled-data certificate; deriving such a certificate is retained as future work.</w:t>
      </w:r>
    </w:p>
    <w:p>
      <w:pPr>
        <w:jc w:val="left"/>
        <w:spacing w:before="0" w:after="0"/>
      </w:pPr>
      <w:r>
        <w:rPr>
          <w:rFonts w:ascii="Times New Roman" w:hAnsi="Times New Roman" w:eastAsia="Times New Roman" w:cs="Times New Roman"/>
          <w:sz w:val="24"/>
          <w:szCs w:val="24"/>
          <w:color w:val="000000"/>
          <w:b/>
          <w:bCs/>
          <w:i/>
          <w:iCs/>
        </w:rPr>
        <w:t>7 Proofs of Theoretical Results</w:t>
      </w:r>
    </w:p>
    <w:p>
      <w:pPr>
        <w:jc w:val="left"/>
        <w:spacing w:before="0" w:after="0"/>
      </w:pPr>
      <w:r>
        <w:rPr>
          <w:rFonts w:ascii="Times New Roman" w:hAnsi="Times New Roman" w:eastAsia="Times New Roman" w:cs="Times New Roman"/>
          <w:sz w:val="20"/>
          <w:szCs w:val="20"/>
          <w:color w:val="000000"/>
          <w:b/>
          <w:bCs/>
          <w:i/>
          <w:iCs/>
        </w:rPr>
        <w:t>7.1 Residual Cross-Term Bound</w:t>
      </w:r>
    </w:p>
    <w:p>
      <w:pPr>
        <w:pStyle w:val="11"/>
        <w:jc w:val="left"/>
        <w:ind w:firstLine="420"/>
      </w:pPr>
      <w:r>
        <w:rPr>
          <w:rFonts w:ascii="Times New Roman" w:hAnsi="Times New Roman" w:eastAsia="Times New Roman" w:cs="Times New Roman"/>
          <w:b/>
          <w:bCs/>
          <w:sz w:val="20"/>
          <w:szCs w:val="20"/>
        </w:rPr>
        <w:t xml:space="preserve">Lemma S1 (Residual cross-term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Let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On the simultaneous residual event in Assumption 2 of the main article, suppose a valid pointwise derivative bound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x</m:t>
            </m:r>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available on</w:t>
      </w:r>
      <w:r>
        <w:rPr>
          <w:rFonts w:ascii="Times New Roman" w:hAnsi="Times New Roman" w:eastAsia="Times New Roman" w:cs="Times New Roman"/>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Then</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β</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(S6)</w:t>
            </w:r>
          </w:p>
        </w:tc>
      </w:tr>
    </w:tbl>
    <w:p>
      <w:pPr>
        <w:pStyle w:val="11"/>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Cauchy–Schwarz,</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x</m:t>
                    </m:r>
                  </m:sub>
                </m:sSub>
                <m:sSubSup>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x</m:t>
                    </m:r>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(S7)</w:t>
            </w:r>
          </w:p>
        </w:tc>
      </w:tr>
    </w:tbl>
    <w:p>
      <w:pPr>
        <w:pStyle w:val="11"/>
        <w:jc w:val="left"/>
        <w:ind w:firstLine="420"/>
      </w:pPr>
      <w:r>
        <w:rPr>
          <w:rFonts w:ascii="Times New Roman" w:hAnsi="Times New Roman" w:eastAsia="Times New Roman" w:cs="Times New Roman"/>
          <w:sz w:val="20"/>
          <w:szCs w:val="20"/>
        </w:rPr>
        <w:t xml:space="preserve">The simultaneous residual event gives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r>
          <w:rPr>
            <w:rFonts w:ascii="Times New Roman" w:hAnsi="Times New Roman" w:eastAsia="Times New Roman" w:cs="Times New Roman"/>
          </w:rPr>
          <m:t>β</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over the modeled outputs, which yields Eq. (S6). Smoothness on a compact operating set ensures that finite global derivative bounds exist when the required derivatives are bounded, but it does not identify them with</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w:t>
      </w:r>
    </w:p>
    <w:p>
      <w:pPr>
        <w:pStyle w:val="3"/>
        <w:jc w:val="left"/>
        <w:ind w:firstLine="420"/>
      </w:pPr>
      <w:r>
        <w:rPr>
          <w:rFonts w:ascii="Times New Roman" w:hAnsi="Times New Roman" w:eastAsia="Times New Roman" w:cs="Times New Roman"/>
          <w:sz w:val="20"/>
          <w:szCs w:val="20"/>
        </w:rPr>
        <w:t xml:space="preserve">The online code uses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 a commissioning proxy for</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Theorem 1 applies to that implementation only when Assumption 3 of the main article independently verifies that the resulting total margin dominates the true top-level HOCBF residual on</w:t>
      </w:r>
      <w:r>
        <w:rPr>
          <w:rFonts w:ascii="Times New Roman" w:hAnsi="Times New Roman" w:eastAsia="Times New Roman" w:cs="Times New Roman"/>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7.2 Full Proof of Theorem 1</w:t>
      </w:r>
    </w:p>
    <w:p>
      <w:pPr>
        <w:pStyle w:val="11"/>
        <w:jc w:val="left"/>
        <w:ind w:firstLine="420"/>
      </w:pPr>
      <w:r>
        <w:rPr>
          <w:rFonts w:ascii="Times New Roman" w:hAnsi="Times New Roman" w:eastAsia="Times New Roman" w:cs="Times New Roman"/>
          <w:i/>
          <w:iCs/>
          <w:sz w:val="20"/>
          <w:szCs w:val="20"/>
        </w:rPr>
        <w:t xml:space="preserve">Proof of Theorem 1.</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Step 1 (Simultaneous residual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2 of the main article states that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holds simultaneously for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3</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modeled residual outputs and all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probability at least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sz w:val="20"/>
          <w:szCs w:val="20"/>
        </w:rPr>
        <w:t xml:space="preserve">. Condition on this event. The commissioning multiplier used in the numerical studies does not establish this event by itself.</w:t>
      </w:r>
    </w:p>
    <w:p>
      <w:pPr>
        <w:pStyle w:val="3"/>
        <w:jc w:val="left"/>
        <w:ind w:firstLine="420"/>
      </w:pPr>
      <w:r>
        <w:rPr>
          <w:rFonts w:ascii="Times New Roman" w:hAnsi="Times New Roman" w:eastAsia="Times New Roman" w:cs="Times New Roman"/>
          <w:b/>
          <w:bCs/>
          <w:sz w:val="20"/>
          <w:szCs w:val="20"/>
        </w:rPr>
        <w:t xml:space="preserve">Step 2 (Compositional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We show</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induction on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w:t>
      </w:r>
    </w:p>
    <w:p>
      <w:pPr>
        <w:numPr>
          <w:ilvl w:val="0"/>
          <w:numId w:val="1001"/>
        </w:numPr>
        <w:jc w:val="left"/>
      </w:pPr>
      <w:r>
        <w:rPr>
          <w:rFonts w:ascii="Times New Roman" w:hAnsi="Times New Roman" w:eastAsia="Times New Roman" w:cs="Times New Roman"/>
          <w:i/>
          <w:iCs/>
          <w:sz w:val="20"/>
          <w:szCs w:val="20"/>
        </w:rPr>
        <w:t xml:space="preserve">Base case (</w:t>
      </w:r>
      <m:oMath>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i/>
          <w:iCs/>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acc>
              <m:accPr>
                <m:chr m:val="̂"/>
              </m:accPr>
              <m:e>
                <m:r>
                  <w:rPr>
                    <w:rFonts w:ascii="Times New Roman" w:hAnsi="Times New Roman" w:eastAsia="Times New Roman" w:cs="Times New Roman"/>
                  </w:rPr>
                  <m:t>f</m:t>
                </m:r>
              </m:e>
            </m:acc>
          </m:e>
          <m:sub>
            <m:r>
              <w:rPr>
                <w:rFonts w:ascii="Times New Roman" w:hAnsi="Times New Roman" w:eastAsia="Times New Roman" w:cs="Times New Roman"/>
              </w:rPr>
              <m:t>j</m:t>
            </m:r>
          </m:sub>
        </m:sSub>
      </m:oMath>
      <w:r>
        <w:rPr>
          <w:rFonts w:ascii="Times New Roman" w:hAnsi="Times New Roman" w:eastAsia="Times New Roman" w:cs="Times New Roman"/>
          <w:sz w:val="20"/>
          <w:szCs w:val="20"/>
        </w:rPr>
        <w:t xml:space="preserve">. By Step 1 and triangle inequality,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1</m:t>
            </m:r>
          </m:sub>
        </m:sSub>
      </m:oMath>
      <w:r>
        <w:rPr>
          <w:rFonts w:ascii="Times New Roman" w:hAnsi="Times New Roman" w:eastAsia="Times New Roman" w:cs="Times New Roman"/>
          <w:sz w:val="20"/>
          <w:szCs w:val="20"/>
        </w:rPr>
        <w:t xml:space="preserve">.</w:t>
      </w:r>
    </w:p>
    <w:p>
      <w:pPr>
        <w:numPr>
          <w:ilvl w:val="0"/>
          <w:numId w:val="1001"/>
        </w:numPr>
        <w:jc w:val="left"/>
      </w:pPr>
      <w:r>
        <w:rPr>
          <w:rFonts w:ascii="Times New Roman" w:hAnsi="Times New Roman" w:eastAsia="Times New Roman" w:cs="Times New Roman"/>
          <w:i/>
          <w:iCs/>
          <w:sz w:val="20"/>
          <w:szCs w:val="20"/>
        </w:rPr>
        <w:t xml:space="preserve">Inductive step (</w:t>
      </w:r>
      <m:oMath>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i/>
          <w:iCs/>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oMath>
      <w:r>
        <w:rPr>
          <w:rFonts w:ascii="Times New Roman" w:hAnsi="Times New Roman" w:eastAsia="Times New Roman" w:cs="Times New Roman"/>
          <w:sz w:val="20"/>
          <w:szCs w:val="20"/>
        </w:rPr>
        <w:t xml:space="preserve">. The residual recursion in the main article gives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first term is bounded as in the base case. The second term is bounded by the induction hypothesis. Lemma S1 bounds the third term when a valid</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available. Assumption 3 requires the operator-norm and cross-term quantities used for the certificate to dominate these terms. Summing gives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sub>
        </m:sSub>
      </m:oMath>
      <w:r>
        <w:rPr>
          <w:rFonts w:ascii="Times New Roman" w:hAnsi="Times New Roman" w:eastAsia="Times New Roman" w:cs="Times New Roman"/>
          <w:sz w:val="20"/>
          <w:szCs w:val="20"/>
        </w:rPr>
        <w:t xml:space="preserve">.</w:t>
      </w:r>
    </w:p>
    <w:p>
      <w:pPr>
        <w:pStyle w:val="11"/>
        <w:jc w:val="left"/>
        <w:ind w:firstLine="420"/>
      </w:pPr>
      <w:r>
        <w:rPr>
          <w:rFonts w:ascii="Times New Roman" w:hAnsi="Times New Roman" w:eastAsia="Times New Roman" w:cs="Times New Roman"/>
          <w:sz w:val="20"/>
          <w:szCs w:val="20"/>
        </w:rPr>
        <w:t xml:space="preserve">The implementation proxy is not substituted for</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this proof unless Assumption 3 validates that substitution.</w:t>
      </w:r>
    </w:p>
    <w:p>
      <w:pPr>
        <w:pStyle w:val="3"/>
        <w:jc w:val="left"/>
        <w:ind w:firstLine="420"/>
      </w:pPr>
      <w:r>
        <w:rPr>
          <w:rFonts w:ascii="Times New Roman" w:hAnsi="Times New Roman" w:eastAsia="Times New Roman" w:cs="Times New Roman"/>
          <w:b/>
          <w:bCs/>
          <w:sz w:val="20"/>
          <w:szCs w:val="20"/>
        </w:rPr>
        <w:t xml:space="preserve">Step 3 (Total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Combining the inductive bounds from Step 2 with the coupling-coefficient bound in Eq. (S7) yields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every admissible deviation input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 For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applied margin 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b/>
          <w:bCs/>
          <w:sz w:val="20"/>
          <w:szCs w:val="20"/>
        </w:rPr>
        <w:t xml:space="preserve">Step 4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satisfying</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definition</w:t>
      </w:r>
      <w:r>
        <w:rPr>
          <w:rFonts w:ascii="Times New Roman" w:hAnsi="Times New Roman" w:eastAsia="Times New Roman" w:cs="Times New Roman"/>
          <w:sz w:val="20"/>
          <w:szCs w:val="20"/>
        </w:rPr>
        <w:t xml:space="preserve"> </w:t>
      </w:r>
      <m:oMath>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w:t>
      </w:r>
      <w:r>
        <w:rPr>
          <w:rFonts w:ascii="Times New Roman" w:hAnsi="Times New Roman" w:eastAsia="Times New Roman" w:cs="Times New Roman"/>
          <w:sz w:val="20"/>
          <w:szCs w:val="20"/>
        </w:rPr>
        <w:t xml:space="preserve"> </w:t>
      </w:r>
      <m:oMath>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Hence</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ψ</m:t>
            </m:r>
          </m:e>
          <m:sub>
            <m:r>
              <w:rPr>
                <w:rFonts w:ascii="Times New Roman" w:hAnsi="Times New Roman" w:eastAsia="Times New Roman" w:cs="Times New Roman"/>
              </w:rPr>
              <m:t>m</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Because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C</m:t>
        </m:r>
      </m:oMath>
      <w:r>
        <w:rPr>
          <w:rFonts w:ascii="Times New Roman" w:hAnsi="Times New Roman" w:eastAsia="Times New Roman" w:cs="Times New Roman"/>
          <w:sz w:val="20"/>
          <w:szCs w:val="20"/>
        </w:rPr>
        <w:t xml:space="preserve">, all lower-order recursive conditions in the main article’s definition of</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C</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satisfied initially. The HOCBF forward-invariance theorem cited there therefore renders</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C</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forward invariant. ◻</w:t>
      </w:r>
    </w:p>
    <w:p>
      <w:pPr>
        <w:jc w:val="left"/>
        <w:spacing w:before="0" w:after="0"/>
      </w:pPr>
      <w:r>
        <w:rPr>
          <w:rFonts w:ascii="Times New Roman" w:hAnsi="Times New Roman" w:eastAsia="Times New Roman" w:cs="Times New Roman"/>
          <w:sz w:val="20"/>
          <w:szCs w:val="20"/>
          <w:color w:val="000000"/>
          <w:b/>
          <w:bCs/>
          <w:i/>
          <w:iCs/>
        </w:rPr>
        <w:t>7.3 Coupling Coefficient Gap Bound</w:t>
      </w:r>
    </w:p>
    <w:p>
      <w:pPr>
        <w:pStyle w:val="11"/>
        <w:jc w:val="left"/>
        <w:ind w:firstLine="420"/>
      </w:pPr>
      <w:r>
        <w:rPr>
          <w:rFonts w:ascii="Times New Roman" w:hAnsi="Times New Roman" w:eastAsia="Times New Roman" w:cs="Times New Roman"/>
          <w:sz w:val="20"/>
          <w:szCs w:val="20"/>
        </w:rPr>
        <w:t xml:space="preserve">The coupling coefficient gap is bounded by:</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d>
                      <m:dPr>
                        <m:begChr m:val="|"/>
                        <m:sepChr m:val=""/>
                        <m:endChr m:val="|"/>
                        <m:grow/>
                      </m:dPr>
                      <m:e>
                        <m:f>
                          <m:fPr>
                            <m:type m:val="bar"/>
                          </m:fPr>
                          <m:num>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w:rPr>
                                    <w:rFonts w:ascii="Times New Roman" w:hAnsi="Times New Roman" w:eastAsia="Times New Roman" w:cs="Times New Roman"/>
                                  </w:rPr>
                                  <m:t>g</m:t>
                                </m:r>
                              </m:sub>
                            </m:sSub>
                            <m:sSubSup>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sSubSup>
                            <m:r>
                              <w:rPr>
                                <w:rFonts w:ascii="Times New Roman" w:hAnsi="Times New Roman" w:eastAsia="Times New Roman" w:cs="Times New Roman"/>
                              </w:rPr>
                              <m:t>h</m:t>
                            </m:r>
                            <m:r>
                              <m:rPr>
                                <m:sty m:val="p"/>
                              </m:rPr>
                              <w:rPr>
                                <w:rFonts w:ascii="Times New Roman" w:hAnsi="Times New Roman" w:eastAsia="Times New Roman" w:cs="Times New Roman"/>
                              </w:rPr>
                              <m:t>)</m:t>
                            </m:r>
                          </m:num>
                          <m:den>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den>
                        </m:f>
                      </m:e>
                    </m:d>
                  </m:e>
                </m:nary>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(S8)</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sup</m:t>
            </m:r>
          </m:e>
          <m:sub>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u</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This term is evaluated separately for each barrier row and included in that row’s total margin; Theorem 1 does not assume a fixed ratio between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oMath>
      <w:r>
        <w:rPr>
          <w:rFonts w:ascii="Times New Roman" w:hAnsi="Times New Roman" w:eastAsia="Times New Roman" w:cs="Times New Roman"/>
          <w:sz w:val="20"/>
          <w:szCs w:val="20"/>
        </w:rPr>
        <w:t xml:space="preserve">.</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for “Commissioning-Calibrated GP-HOCBF Safety Filtering for Ultra-Supercritical Boiler-Turbine Control under Model Mismatch”</dc:title>
  <dc:creator/>
  <cp:keywords/>
  <dcterms:created xsi:type="dcterms:W3CDTF">2026-09-01T15:23:05Z</dcterms:created>
  <dcterms:modified xsi:type="dcterms:W3CDTF">2026-09-01T15:23:05Z</dcterms:modified>
</cp:coreProperties>
</file>

<file path=docProps/custom.xml><?xml version="1.0" encoding="utf-8"?>
<custom:Properties xmlns:custom="http://schemas.openxmlformats.org/officeDocument/2006/custom-properties" xmlns:ns1="http://schemas.openxmlformats.org/officeDocument/2006/docPropsVTypes">
  <custom:property fmtid="{D5CDD505-2E9C-101B-9397-08002B2CF9AE}" pid="4" name="date">
    <ns1:lpwstr/>
  </custom:property>
  <custom:property fmtid="{D5CDD505-2E9C-101B-9397-08002B2CF9AE}" pid="5" name="reference-section-title">
    <ns1:lpwstr>References</ns1:lpwstr>
  </custom:property>
</custom:Properties>
</file>