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3D场景主视图竞争和优先级仲裁机制</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总览</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系统目标</w:t>
      </w:r>
      <w:bookmarkEnd w:id="1"/>
    </w:p>
    <w:p>
      <w:pPr>
        <w:spacing w:before="120" w:after="120" w:line="288" w:lineRule="auto"/>
        <w:ind w:left="0"/>
        <w:jc w:val="left"/>
      </w:pPr>
      <w:r>
        <w:rPr>
          <w:rFonts w:eastAsia="等线" w:ascii="Arial" w:cs="Arial" w:hAnsi="Arial"/>
          <w:sz w:val="22"/>
        </w:rPr>
        <w:t>在多系统事件并发的情况下，定义</w:t>
      </w:r>
      <w:r>
        <w:rPr>
          <w:rFonts w:eastAsia="等线" w:ascii="Arial" w:cs="Arial" w:hAnsi="Arial"/>
          <w:b w:val="true"/>
          <w:sz w:val="22"/>
        </w:rPr>
        <w:t>谁占据主视图</w:t>
      </w:r>
      <w:r>
        <w:rPr>
          <w:rFonts w:eastAsia="等线" w:ascii="Arial" w:cs="Arial" w:hAnsi="Arial"/>
          <w:sz w:val="22"/>
        </w:rPr>
        <w:t>，并通过可控的镜头打断机制，在保证运镜稳定性的同时，引导驾驶员关注当前最重要的驾驶信息。</w:t>
      </w:r>
    </w:p>
    <w:p>
      <w:pPr>
        <w:pStyle w:val="2"/>
        <w:spacing w:before="320" w:after="120" w:line="288" w:lineRule="auto"/>
        <w:ind w:left="0"/>
        <w:jc w:val="left"/>
        <w:outlineLvl w:val="1"/>
      </w:pPr>
      <w:bookmarkStart w:name="heading_2" w:id="2"/>
      <w:r>
        <w:rPr>
          <w:rFonts w:eastAsia="等线" w:ascii="Arial" w:cs="Arial" w:hAnsi="Arial"/>
          <w:b w:val="true"/>
          <w:sz w:val="32"/>
        </w:rPr>
        <w:t>系统概述</w:t>
      </w:r>
      <w:bookmarkEnd w:id="2"/>
    </w:p>
    <w:p>
      <w:pPr>
        <w:spacing w:before="120" w:after="120" w:line="288" w:lineRule="auto"/>
        <w:ind w:left="0"/>
        <w:jc w:val="left"/>
      </w:pPr>
      <w:r>
        <w:rPr>
          <w:rFonts w:eastAsia="等线" w:ascii="Arial" w:cs="Arial" w:hAnsi="Arial"/>
          <w:sz w:val="22"/>
        </w:rPr>
        <w:t>当不同驾驶与环境事件被触发时，车辆与 3D 地图视角会发生变化，作为信息表达与注意力引导的手段。我们将这些视角抽象为一组</w:t>
      </w:r>
      <w:r>
        <w:rPr>
          <w:rFonts w:eastAsia="等线" w:ascii="Arial" w:cs="Arial" w:hAnsi="Arial"/>
          <w:b w:val="true"/>
          <w:sz w:val="22"/>
        </w:rPr>
        <w:t>虚拟摄像头状态</w:t>
      </w:r>
      <w:r>
        <w:rPr>
          <w:rFonts w:eastAsia="等线" w:ascii="Arial" w:cs="Arial" w:hAnsi="Arial"/>
          <w:sz w:val="22"/>
        </w:rPr>
        <w:t>，所有镜头均可在统一的相机系统内平滑过渡，而非相互割裂的独立动画。</w:t>
      </w:r>
    </w:p>
    <w:p>
      <w:pPr>
        <w:pStyle w:val="2"/>
        <w:spacing w:before="320" w:after="120" w:line="288" w:lineRule="auto"/>
        <w:ind w:left="0"/>
        <w:jc w:val="left"/>
        <w:outlineLvl w:val="1"/>
      </w:pPr>
      <w:bookmarkStart w:name="heading_3" w:id="3"/>
      <w:r>
        <w:rPr>
          <w:rFonts w:eastAsia="等线" w:ascii="Arial" w:cs="Arial" w:hAnsi="Arial"/>
          <w:b w:val="true"/>
          <w:sz w:val="32"/>
        </w:rPr>
        <w:t>系统设计原则</w:t>
      </w:r>
      <w:bookmarkEnd w:id="3"/>
    </w:p>
    <w:p>
      <w:pPr>
        <w:spacing w:before="120" w:after="120" w:line="288" w:lineRule="auto"/>
        <w:ind w:left="0"/>
        <w:jc w:val="left"/>
      </w:pPr>
      <w:r>
        <w:rPr>
          <w:rFonts w:eastAsia="等线" w:ascii="Arial" w:cs="Arial" w:hAnsi="Arial"/>
          <w:sz w:val="22"/>
        </w:rPr>
        <w:t>在复杂驾驶场景下，镜头不再“响应所有事件”，而是</w:t>
      </w:r>
      <w:r>
        <w:rPr>
          <w:rFonts w:eastAsia="等线" w:ascii="Arial" w:cs="Arial" w:hAnsi="Arial"/>
          <w:b w:val="true"/>
          <w:sz w:val="22"/>
        </w:rPr>
        <w:t>只为当前最重要的事件服务</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注意力优先</w:t>
      </w:r>
      <w:r>
        <w:rPr>
          <w:rFonts w:eastAsia="等线" w:ascii="Arial" w:cs="Arial" w:hAnsi="Arial"/>
          <w:sz w:val="22"/>
        </w:rPr>
        <w:t>：镜头切换服务于驾驶任务，仅在关键事件节点发生。</w:t>
      </w:r>
    </w:p>
    <w:p>
      <w:pPr>
        <w:spacing w:before="120" w:after="120" w:line="288" w:lineRule="auto"/>
        <w:ind w:left="0"/>
        <w:jc w:val="left"/>
      </w:pPr>
      <w:r>
        <w:rPr>
          <w:rFonts w:eastAsia="等线" w:ascii="Arial" w:cs="Arial" w:hAnsi="Arial"/>
          <w:b w:val="true"/>
          <w:sz w:val="22"/>
        </w:rPr>
        <w:t>最小镜头集</w:t>
      </w:r>
      <w:r>
        <w:rPr>
          <w:rFonts w:eastAsia="等线" w:ascii="Arial" w:cs="Arial" w:hAnsi="Arial"/>
          <w:sz w:val="22"/>
        </w:rPr>
        <w:t>：合并关注点相似的事件镜头，避免状态爆炸。</w:t>
      </w:r>
    </w:p>
    <w:p>
      <w:pPr>
        <w:spacing w:before="120" w:after="120" w:line="288" w:lineRule="auto"/>
        <w:ind w:left="0"/>
        <w:jc w:val="left"/>
      </w:pPr>
      <w:r>
        <w:rPr>
          <w:rFonts w:eastAsia="等线" w:ascii="Arial" w:cs="Arial" w:hAnsi="Arial"/>
          <w:b w:val="true"/>
          <w:sz w:val="22"/>
        </w:rPr>
        <w:t>稳定性优先</w:t>
      </w:r>
      <w:r>
        <w:rPr>
          <w:rFonts w:eastAsia="等线" w:ascii="Arial" w:cs="Arial" w:hAnsi="Arial"/>
          <w:sz w:val="22"/>
        </w:rPr>
        <w:t>：限制非必要的视角切换，减少频繁运镜对驾驶注意力的干扰。</w:t>
      </w:r>
    </w:p>
    <w:p>
      <w:pPr>
        <w:spacing w:before="120" w:after="120" w:line="288" w:lineRule="auto"/>
        <w:ind w:left="0"/>
        <w:jc w:val="left"/>
      </w:pPr>
      <w:r>
        <w:rPr>
          <w:rFonts w:eastAsia="等线" w:ascii="Arial" w:cs="Arial" w:hAnsi="Arial"/>
          <w:b w:val="true"/>
          <w:sz w:val="22"/>
        </w:rPr>
        <w:t>安全信息优先</w:t>
      </w:r>
      <w:r>
        <w:rPr>
          <w:rFonts w:eastAsia="等线" w:ascii="Arial" w:cs="Arial" w:hAnsi="Arial"/>
          <w:sz w:val="22"/>
        </w:rPr>
        <w:t>，不被低优先级状态打断</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color w:val="3370ff"/>
          <w:sz w:val="36"/>
        </w:rPr>
        <w:t xml:space="preserve">2. </w:t>
      </w:r>
      <w:r>
        <w:rPr>
          <w:rFonts w:eastAsia="等线" w:ascii="Arial" w:cs="Arial" w:hAnsi="Arial"/>
          <w:b w:val="true"/>
          <w:sz w:val="36"/>
        </w:rPr>
        <w:t>行车运镜</w:t>
      </w:r>
      <w:bookmarkEnd w:id="4"/>
    </w:p>
    <w:p>
      <w:pPr>
        <w:pStyle w:val="2"/>
        <w:spacing w:before="320" w:after="120" w:line="288" w:lineRule="auto"/>
        <w:ind w:left="0"/>
        <w:jc w:val="left"/>
        <w:outlineLvl w:val="1"/>
      </w:pPr>
      <w:bookmarkStart w:name="heading_5" w:id="5"/>
      <w:r>
        <w:rPr>
          <w:rFonts w:eastAsia="等线" w:ascii="Arial" w:cs="Arial" w:hAnsi="Arial"/>
          <w:b w:val="true"/>
          <w:sz w:val="32"/>
        </w:rPr>
        <w:t>行车事件</w:t>
      </w:r>
      <w:bookmarkEnd w:id="5"/>
    </w:p>
    <w:p>
      <w:pPr>
        <w:pStyle w:val="3"/>
        <w:spacing w:before="300" w:after="120" w:line="288" w:lineRule="auto"/>
        <w:ind w:left="453"/>
        <w:jc w:val="left"/>
        <w:outlineLvl w:val="2"/>
      </w:pPr>
      <w:bookmarkStart w:name="heading_6" w:id="6"/>
      <w:r>
        <w:rPr>
          <w:rFonts w:eastAsia="等线" w:ascii="Arial" w:cs="Arial" w:hAnsi="Arial"/>
          <w:b w:val="true"/>
          <w:sz w:val="30"/>
        </w:rPr>
        <w:t>—— 哪些</w:t>
      </w:r>
      <w:r>
        <w:rPr>
          <w:rFonts w:eastAsia="等线" w:ascii="Arial" w:cs="Arial" w:hAnsi="Arial"/>
          <w:b w:val="true"/>
          <w:sz w:val="30"/>
        </w:rPr>
        <w:t>系统信号源向镜头“提出变化请求”</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65"/>
        <w:gridCol w:w="1095"/>
        <w:gridCol w:w="1890"/>
        <w:gridCol w:w="1890"/>
        <w:gridCol w:w="2040"/>
      </w:tblGrid>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驾驶状态</w:t>
            </w:r>
          </w:p>
        </w:tc>
        <w:tc>
          <w:tcPr>
            <w:tcW w:w="1095" w:type="dxa"/>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设计说明</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是否采用及原因</w:t>
            </w:r>
          </w:p>
        </w:tc>
      </w:tr>
      <w:tr>
        <w:tc>
          <w:tcPr>
            <w:tcW w:w="13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手动驾驶 D 挡</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默认视角</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手动驾驶默认视角是用户挂入D挡后的默认视角，也是用户用于观察3D地图的最常用视角，视角的设计需要兼顾美观、实用性。</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w:t>
            </w:r>
            <w:r>
              <w:rPr>
                <w:rFonts w:eastAsia="等线" w:ascii="Arial" w:cs="Arial" w:hAnsi="Arial"/>
                <w:sz w:val="22"/>
              </w:rPr>
              <w:t>。原因同设计说明</w:t>
            </w:r>
          </w:p>
          <w:p>
            <w:pPr>
              <w:spacing w:before="120" w:after="120" w:line="288" w:lineRule="auto"/>
              <w:ind w:left="0"/>
              <w:jc w:val="left"/>
            </w:pPr>
          </w:p>
        </w:tc>
      </w:tr>
      <w:tr>
        <w:tc>
          <w:tcPr>
            <w:tcW w:w="1365" w:type="dxa"/>
            <w:vMerge w:val="continue"/>
            <w:tcMar>
              <w:top w:type="dxa" w:w="60"/>
              <w:left w:type="dxa" w:w="120"/>
              <w:bottom w:type="dxa" w:w="30"/>
              <w:right w:type="dxa" w:w="120"/>
            </w:tcMar>
          </w:tcPr>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随时速变化的视角</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驾驶速度越快，相机离自车越远，以模拟提升驾驶游戏化沉浸感</w:t>
            </w:r>
          </w:p>
          <w:p>
            <w:pPr>
              <w:spacing w:before="120" w:after="120" w:line="288" w:lineRule="auto"/>
              <w:ind w:left="0"/>
              <w:jc w:val="left"/>
            </w:pP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否</w:t>
            </w:r>
            <w:r>
              <w:rPr>
                <w:rFonts w:eastAsia="等线" w:ascii="Arial" w:cs="Arial" w:hAnsi="Arial"/>
                <w:sz w:val="22"/>
              </w:rPr>
              <w:t>。由于驾驶时需要兼顾自车周边路况的显示，镜头无法在很大幅度上做多段的变化。</w:t>
            </w:r>
          </w:p>
          <w:p>
            <w:pPr>
              <w:spacing w:before="120" w:after="120" w:line="288" w:lineRule="auto"/>
              <w:ind w:left="0"/>
              <w:jc w:val="left"/>
            </w:pPr>
            <w:r>
              <w:rPr>
                <w:rFonts w:eastAsia="等线" w:ascii="Arial" w:cs="Arial" w:hAnsi="Arial"/>
                <w:sz w:val="22"/>
              </w:rPr>
              <w:t>设计效果用户感知弱，信息收益不足以覆盖主视图竞争成本。</w:t>
            </w:r>
          </w:p>
        </w:tc>
      </w:tr>
      <w:tr>
        <w:tc>
          <w:tcPr>
            <w:tcW w:w="1365" w:type="dxa"/>
            <w:vMerge w:val="continue"/>
            <w:tcMar>
              <w:top w:type="dxa" w:w="60"/>
              <w:left w:type="dxa" w:w="120"/>
              <w:bottom w:type="dxa" w:w="30"/>
              <w:right w:type="dxa" w:w="120"/>
            </w:tcMar>
          </w:tcPr>
          <w:p>
            <w:pPr>
              <w:spacing w:before="120" w:after="120" w:line="288" w:lineRule="auto"/>
              <w:ind w:left="0"/>
              <w:jc w:val="left"/>
            </w:pPr>
          </w:p>
        </w:tc>
        <w:tc>
          <w:tcPr>
            <w:tcW w:w="10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随加速度变化的视角</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急减速</w:t>
            </w:r>
          </w:p>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当车辆的加速度在负向上达到一定阈值，镜头向自车快速平滑靠近，并缓慢返回。以模拟提升驾驶游戏化沉浸感</w:t>
            </w:r>
          </w:p>
        </w:tc>
        <w:tc>
          <w:tcPr>
            <w:tcW w:w="204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否</w:t>
            </w:r>
            <w:r>
              <w:rPr>
                <w:rFonts w:eastAsia="等线" w:ascii="Arial" w:cs="Arial" w:hAnsi="Arial"/>
                <w:sz w:val="22"/>
              </w:rPr>
              <w:t>。该镜头对核心驾驶决策的支持有限，且引入额外参数变化可能干扰用户对当前驾驶状态的稳定感知。</w:t>
            </w:r>
          </w:p>
          <w:p>
            <w:pPr>
              <w:spacing w:before="120" w:after="120" w:line="288" w:lineRule="auto"/>
              <w:ind w:left="0"/>
              <w:jc w:val="left"/>
            </w:pPr>
            <w:r>
              <w:rPr>
                <w:rFonts w:eastAsia="等线" w:ascii="Arial" w:cs="Arial" w:hAnsi="Arial"/>
                <w:sz w:val="22"/>
              </w:rPr>
              <w:t>在当前渲染与运镜约束下，引入该镜头将显著增加系统负载，并可能影响整体运镜稳定性。</w:t>
            </w:r>
          </w:p>
        </w:tc>
      </w:tr>
      <w:tr>
        <w:tc>
          <w:tcPr>
            <w:tcW w:w="1365" w:type="dxa"/>
            <w:vMerge w:val="continue"/>
            <w:tcMar>
              <w:top w:type="dxa" w:w="60"/>
              <w:left w:type="dxa" w:w="120"/>
              <w:bottom w:type="dxa" w:w="30"/>
              <w:right w:type="dxa" w:w="120"/>
            </w:tcMar>
          </w:tcPr>
          <w:p>
            <w:pPr>
              <w:spacing w:before="120" w:after="120" w:line="288" w:lineRule="auto"/>
              <w:ind w:left="0"/>
              <w:jc w:val="left"/>
            </w:pPr>
          </w:p>
        </w:tc>
        <w:tc>
          <w:tcPr>
            <w:tcW w:w="1095" w:type="dxa"/>
            <w:vMerge w:val="continue"/>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急加速</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当车辆的加速度在负向上达到一定阈值，镜头向自车快速平滑拉远，并缓慢返回。以模拟提升驾驶游戏化沉浸感</w:t>
            </w:r>
          </w:p>
        </w:tc>
        <w:tc>
          <w:tcPr>
            <w:tcW w:w="2040" w:type="dxa"/>
            <w:vMerge w:val="continue"/>
            <w:tcMar>
              <w:top w:type="dxa" w:w="60"/>
              <w:left w:type="dxa" w:w="120"/>
              <w:bottom w:type="dxa" w:w="30"/>
              <w:right w:type="dxa" w:w="120"/>
            </w:tcMar>
          </w:tcPr>
          <w:p>
            <w:pPr>
              <w:spacing w:before="120" w:after="120" w:line="288" w:lineRule="auto"/>
              <w:ind w:left="0"/>
              <w:jc w:val="left"/>
            </w:pPr>
          </w:p>
        </w:tc>
      </w:tr>
      <w:tr>
        <w:tc>
          <w:tcPr>
            <w:tcW w:w="1365" w:type="dxa"/>
            <w:vMerge w:val="continue"/>
            <w:tcMar>
              <w:top w:type="dxa" w:w="60"/>
              <w:left w:type="dxa" w:w="120"/>
              <w:bottom w:type="dxa" w:w="30"/>
              <w:right w:type="dxa" w:w="120"/>
            </w:tcMar>
          </w:tcPr>
          <w:p>
            <w:pPr>
              <w:spacing w:before="120" w:after="120" w:line="288" w:lineRule="auto"/>
              <w:ind w:left="0"/>
              <w:jc w:val="left"/>
            </w:pPr>
          </w:p>
        </w:tc>
        <w:tc>
          <w:tcPr>
            <w:tcW w:w="10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导航驾驶事件视角</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导航开启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关注前方机动点的显示（远处物体集中于天际线位置）</w:t>
            </w:r>
          </w:p>
          <w:p>
            <w:pPr>
              <w:spacing w:before="120" w:after="120" w:line="288" w:lineRule="auto"/>
              <w:ind w:left="0"/>
              <w:jc w:val="left"/>
            </w:pPr>
            <w:r>
              <w:rPr>
                <w:rFonts w:eastAsia="等线" w:ascii="Arial" w:cs="Arial" w:hAnsi="Arial"/>
                <w:sz w:val="22"/>
              </w:rPr>
              <w:t>兼顾前方一定距离内的驾驶路线和路况，自车以及其后方一定距离内他车的显示。</w:t>
            </w:r>
          </w:p>
          <w:p>
            <w:pPr>
              <w:spacing w:before="120" w:after="120" w:line="288" w:lineRule="auto"/>
              <w:ind w:left="0"/>
              <w:jc w:val="left"/>
            </w:pPr>
            <w:r>
              <w:rPr>
                <w:rFonts w:eastAsia="等线" w:ascii="Arial" w:cs="Arial" w:hAnsi="Arial"/>
                <w:sz w:val="22"/>
              </w:rPr>
              <w:t>关注导航下的辅助驾驶功能和路口路况驾驶</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w:t>
            </w:r>
            <w:r>
              <w:rPr>
                <w:rFonts w:eastAsia="等线" w:ascii="Arial" w:cs="Arial" w:hAnsi="Arial"/>
                <w:sz w:val="22"/>
              </w:rPr>
              <w:t>原因同设计说明</w:t>
            </w:r>
          </w:p>
          <w:p>
            <w:pPr>
              <w:spacing w:before="120" w:after="120" w:line="288" w:lineRule="auto"/>
              <w:ind w:left="0"/>
              <w:jc w:val="left"/>
            </w:pPr>
          </w:p>
        </w:tc>
      </w:tr>
      <w:tr>
        <w:tc>
          <w:tcPr>
            <w:tcW w:w="1365" w:type="dxa"/>
            <w:vMerge w:val="continue"/>
            <w:tcMar>
              <w:top w:type="dxa" w:w="60"/>
              <w:left w:type="dxa" w:w="120"/>
              <w:bottom w:type="dxa" w:w="30"/>
              <w:right w:type="dxa" w:w="120"/>
            </w:tcMar>
          </w:tcPr>
          <w:p>
            <w:pPr>
              <w:spacing w:before="120" w:after="120" w:line="288" w:lineRule="auto"/>
              <w:ind w:left="0"/>
              <w:jc w:val="left"/>
            </w:pPr>
          </w:p>
        </w:tc>
        <w:tc>
          <w:tcPr>
            <w:tcW w:w="1095" w:type="dxa"/>
            <w:vMerge w:val="continue"/>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经过机动点（城市路口）</w:t>
            </w:r>
          </w:p>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用户需要提前查看前方一定距离（距离路口100m内） 以及时做出驾驶决策，采用更高的鸟瞰视角使得屏幕内承载更多前方路况信息。</w:t>
            </w:r>
          </w:p>
        </w:tc>
        <w:tc>
          <w:tcPr>
            <w:tcW w:w="204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否。鸟瞰视角内车辆周边感知信息无法清晰呈现，而后者在驾驶中对用户的优先级更高</w:t>
            </w:r>
          </w:p>
          <w:p>
            <w:pPr>
              <w:spacing w:before="120" w:after="120" w:line="288" w:lineRule="auto"/>
              <w:ind w:left="0"/>
              <w:jc w:val="left"/>
            </w:pPr>
          </w:p>
        </w:tc>
      </w:tr>
      <w:tr>
        <w:tc>
          <w:tcPr>
            <w:tcW w:w="1365" w:type="dxa"/>
            <w:vMerge w:val="continue"/>
            <w:tcMar>
              <w:top w:type="dxa" w:w="60"/>
              <w:left w:type="dxa" w:w="120"/>
              <w:bottom w:type="dxa" w:w="30"/>
              <w:right w:type="dxa" w:w="120"/>
            </w:tcMar>
          </w:tcPr>
          <w:p>
            <w:pPr>
              <w:spacing w:before="120" w:after="120" w:line="288" w:lineRule="auto"/>
              <w:ind w:left="0"/>
              <w:jc w:val="left"/>
            </w:pPr>
          </w:p>
        </w:tc>
        <w:tc>
          <w:tcPr>
            <w:tcW w:w="1095" w:type="dxa"/>
            <w:vMerge w:val="continue"/>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经过机动点（高速匝道）</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用户需要提前查看前方一定距离（距离匝道 1000m内）以及时做出驾驶决策，采用更高的鸟瞰视角使得屏幕内承载更多前方路况信息。</w:t>
            </w:r>
          </w:p>
        </w:tc>
        <w:tc>
          <w:tcPr>
            <w:tcW w:w="2040" w:type="dxa"/>
            <w:vMerge w:val="continue"/>
            <w:tcMar>
              <w:top w:type="dxa" w:w="60"/>
              <w:left w:type="dxa" w:w="120"/>
              <w:bottom w:type="dxa" w:w="30"/>
              <w:right w:type="dxa" w:w="120"/>
            </w:tcMar>
          </w:tcPr>
          <w:p>
            <w:pPr>
              <w:spacing w:before="120" w:after="120" w:line="288" w:lineRule="auto"/>
              <w:ind w:left="0"/>
              <w:jc w:val="left"/>
            </w:pPr>
          </w:p>
        </w:tc>
      </w:tr>
      <w:tr>
        <w:tc>
          <w:tcPr>
            <w:tcW w:w="1365" w:type="dxa"/>
            <w:vMerge w:val="continue"/>
            <w:tcMar>
              <w:top w:type="dxa" w:w="60"/>
              <w:left w:type="dxa" w:w="120"/>
              <w:bottom w:type="dxa" w:w="30"/>
              <w:right w:type="dxa" w:w="120"/>
            </w:tcMar>
          </w:tcPr>
          <w:p>
            <w:pPr>
              <w:spacing w:before="120" w:after="120" w:line="288" w:lineRule="auto"/>
              <w:ind w:left="0"/>
              <w:jc w:val="left"/>
            </w:pPr>
          </w:p>
        </w:tc>
        <w:tc>
          <w:tcPr>
            <w:tcW w:w="1095" w:type="dxa"/>
            <w:vMerge w:val="continue"/>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经过隧道</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用户导航经过隧道路段时，提供角度稍低的跟车视角。</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否</w:t>
            </w:r>
            <w:r>
              <w:rPr>
                <w:rFonts w:eastAsia="等线" w:ascii="Arial" w:cs="Arial" w:hAnsi="Arial"/>
                <w:sz w:val="22"/>
              </w:rPr>
              <w:t>。随高精地图的停止使用而取消</w:t>
            </w:r>
          </w:p>
        </w:tc>
      </w:tr>
      <w:tr>
        <w:tc>
          <w:tcPr>
            <w:tcW w:w="1365" w:type="dxa"/>
            <w:vMerge w:val="continue"/>
            <w:tcMar>
              <w:top w:type="dxa" w:w="60"/>
              <w:left w:type="dxa" w:w="120"/>
              <w:bottom w:type="dxa" w:w="30"/>
              <w:right w:type="dxa" w:w="120"/>
            </w:tcMar>
          </w:tcPr>
          <w:p>
            <w:pPr>
              <w:spacing w:before="120" w:after="120" w:line="288" w:lineRule="auto"/>
              <w:ind w:left="0"/>
              <w:jc w:val="left"/>
            </w:pPr>
          </w:p>
        </w:tc>
        <w:tc>
          <w:tcPr>
            <w:tcW w:w="1095" w:type="dxa"/>
            <w:vMerge w:val="continue"/>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经过环岛/桥梁</w:t>
            </w:r>
          </w:p>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用户在经过此类POI时，提供针对该路段的全览视角</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否</w:t>
            </w:r>
            <w:r>
              <w:rPr>
                <w:rFonts w:eastAsia="等线" w:ascii="Arial" w:cs="Arial" w:hAnsi="Arial"/>
                <w:sz w:val="22"/>
              </w:rPr>
              <w:t>。随高精地图的停止使用而取消</w:t>
            </w:r>
          </w:p>
        </w:tc>
      </w:tr>
      <w:tr>
        <w:tc>
          <w:tcPr>
            <w:tcW w:w="13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开放道路辅助驾驶</w:t>
            </w:r>
          </w:p>
          <w:p>
            <w:pPr>
              <w:spacing w:before="120" w:after="120" w:line="288" w:lineRule="auto"/>
              <w:ind w:left="0"/>
              <w:jc w:val="left"/>
            </w:pPr>
            <w:r>
              <w:rPr>
                <w:rFonts w:eastAsia="等线" w:ascii="Arial" w:cs="Arial" w:hAnsi="Arial"/>
                <w:sz w:val="22"/>
              </w:rPr>
              <w:t>D挡（ASD/LCC)</w:t>
            </w:r>
          </w:p>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导航下的辅助驾驶事件视角</w:t>
            </w:r>
          </w:p>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左转弯/右转弯/掉头</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辅助驾驶在执行此类任务时，结合用户需要观察的方向（如右转需要关注右后方和前方两侧），在导航机动点视角基础上观察点向对应位点的中位偏移。</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否</w:t>
            </w:r>
            <w:r>
              <w:rPr>
                <w:rFonts w:eastAsia="等线" w:ascii="Arial" w:cs="Arial" w:hAnsi="Arial"/>
                <w:sz w:val="22"/>
              </w:rPr>
              <w:t>。合并入随方向盘转角引发的镜头变化</w:t>
            </w:r>
          </w:p>
          <w:p>
            <w:pPr>
              <w:spacing w:before="120" w:after="120" w:line="288" w:lineRule="auto"/>
              <w:ind w:left="0"/>
              <w:jc w:val="left"/>
            </w:pPr>
          </w:p>
        </w:tc>
      </w:tr>
      <w:tr>
        <w:tc>
          <w:tcPr>
            <w:tcW w:w="1365" w:type="dxa"/>
            <w:vMerge w:val="continue"/>
            <w:tcMar>
              <w:top w:type="dxa" w:w="60"/>
              <w:left w:type="dxa" w:w="120"/>
              <w:bottom w:type="dxa" w:w="30"/>
              <w:right w:type="dxa" w:w="120"/>
            </w:tcMar>
          </w:tcPr>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通用辅助驾驶事件视角</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自动变道</w:t>
            </w:r>
          </w:p>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自动变道时用户需要兼顾自车后方/目标车道/前方的交通状况，视角相较于单一车道行驶时需向后侧方向移动</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w:t>
            </w:r>
            <w:r>
              <w:rPr>
                <w:rFonts w:eastAsia="等线" w:ascii="Arial" w:cs="Arial" w:hAnsi="Arial"/>
                <w:sz w:val="22"/>
              </w:rPr>
              <w:t>。原因同设计说明</w:t>
            </w:r>
          </w:p>
          <w:p>
            <w:pPr>
              <w:spacing w:before="120" w:after="120" w:line="288" w:lineRule="auto"/>
              <w:ind w:left="0"/>
              <w:jc w:val="left"/>
            </w:pP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主动安全事件</w:t>
            </w:r>
          </w:p>
        </w:tc>
        <w:tc>
          <w:tcPr>
            <w:tcW w:w="1095" w:type="dxa"/>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前向碰撞预警</w:t>
            </w:r>
          </w:p>
          <w:p>
            <w:pPr>
              <w:spacing w:before="120" w:after="120" w:line="288" w:lineRule="auto"/>
              <w:ind w:left="0"/>
              <w:jc w:val="left"/>
            </w:pPr>
            <w:r>
              <w:rPr>
                <w:rFonts w:eastAsia="等线" w:ascii="Arial" w:cs="Arial" w:hAnsi="Arial"/>
                <w:sz w:val="22"/>
              </w:rPr>
              <w:t>后向碰撞预警</w:t>
            </w:r>
          </w:p>
          <w:p>
            <w:pPr>
              <w:spacing w:before="120" w:after="120" w:line="288" w:lineRule="auto"/>
              <w:ind w:left="0"/>
              <w:jc w:val="left"/>
            </w:pPr>
            <w:r>
              <w:rPr>
                <w:rFonts w:eastAsia="等线" w:ascii="Arial" w:cs="Arial" w:hAnsi="Arial"/>
                <w:sz w:val="22"/>
              </w:rPr>
              <w:t>盲区监测预警</w:t>
            </w:r>
          </w:p>
          <w:p>
            <w:pPr>
              <w:spacing w:before="120" w:after="120" w:line="288" w:lineRule="auto"/>
              <w:ind w:left="0"/>
              <w:jc w:val="left"/>
            </w:pPr>
            <w:r>
              <w:rPr>
                <w:rFonts w:eastAsia="等线" w:ascii="Arial" w:cs="Arial" w:hAnsi="Arial"/>
                <w:sz w:val="22"/>
              </w:rPr>
              <w:t>后侧向碰撞预警</w:t>
            </w:r>
          </w:p>
          <w:p>
            <w:pPr>
              <w:spacing w:before="120" w:after="120" w:line="288" w:lineRule="auto"/>
              <w:ind w:left="0"/>
              <w:jc w:val="left"/>
            </w:pPr>
            <w:r>
              <w:rPr>
                <w:rFonts w:eastAsia="等线" w:ascii="Arial" w:cs="Arial" w:hAnsi="Arial"/>
                <w:sz w:val="22"/>
              </w:rPr>
              <w:t>车道偏移预警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在系统对用户发出碰撞预警时，镜头迅速向对应风险进行适当的偏移</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否</w:t>
            </w:r>
            <w:r>
              <w:rPr>
                <w:rFonts w:eastAsia="等线" w:ascii="Arial" w:cs="Arial" w:hAnsi="Arial"/>
                <w:sz w:val="22"/>
              </w:rPr>
              <w:t>。危险情况发生时已通过声音，屏幕边缘红色警示等元素以及安全带抱死等车身行为等更高优先级的表达方式充分覆盖，镜头层重复表达将导致注意力冗余。在安全相关场景下，镜头变化可能分散用户对关键风险信息的注意力，因此不作为主要表达手段。</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手动驾驶 R 挡</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用户倒车时需要关注自车后方和后侧方物件，尽可能覆盖后方和后侧方来车的预警状态报警距离</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w:t>
            </w:r>
            <w:r>
              <w:rPr>
                <w:rFonts w:eastAsia="等线" w:ascii="Arial" w:cs="Arial" w:hAnsi="Arial"/>
                <w:sz w:val="22"/>
              </w:rPr>
              <w:t>。原因同设计说明</w:t>
            </w:r>
          </w:p>
          <w:p>
            <w:pPr>
              <w:spacing w:before="120" w:after="120" w:line="288" w:lineRule="auto"/>
              <w:ind w:left="0"/>
              <w:jc w:val="left"/>
            </w:pP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泊车辅助驾驶</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AVP自动代客泊车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路径学习和使用</w:t>
            </w:r>
          </w:p>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AVP学习和使用激活，在任意挡位状态下（D/R/P均保持该视角）关注离自车更近的道路状态以及侧/后方车位情况</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w:t>
            </w:r>
            <w:r>
              <w:rPr>
                <w:rFonts w:eastAsia="等线" w:ascii="Arial" w:cs="Arial" w:hAnsi="Arial"/>
                <w:sz w:val="22"/>
              </w:rPr>
              <w:t>。原因同设计说明</w:t>
            </w:r>
          </w:p>
          <w:p>
            <w:pPr>
              <w:spacing w:before="120" w:after="120" w:line="288" w:lineRule="auto"/>
              <w:ind w:left="0"/>
              <w:jc w:val="left"/>
            </w:pPr>
          </w:p>
        </w:tc>
      </w:tr>
      <w:tr>
        <w:tc>
          <w:tcPr>
            <w:tcW w:w="1365" w:type="dxa"/>
            <w:tcMar>
              <w:top w:type="dxa" w:w="60"/>
              <w:left w:type="dxa" w:w="120"/>
              <w:bottom w:type="dxa" w:w="30"/>
              <w:right w:type="dxa" w:w="120"/>
            </w:tcMar>
          </w:tcPr>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APA自动泊车辅助</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自动泊入/出</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兼顾自车和车位，满足泊车过程中两者位置的动态变化（自车和车位在不同距离内均能在屏幕中呈现恰当的画面比例）并起到衔接D挡和P挡的镜头</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w:t>
            </w:r>
            <w:r>
              <w:rPr>
                <w:rFonts w:eastAsia="等线" w:ascii="Arial" w:cs="Arial" w:hAnsi="Arial"/>
                <w:sz w:val="22"/>
              </w:rPr>
              <w:t>。原因同设计说明</w:t>
            </w:r>
          </w:p>
          <w:p>
            <w:pPr>
              <w:spacing w:before="120" w:after="120" w:line="288" w:lineRule="auto"/>
              <w:ind w:left="0"/>
              <w:jc w:val="left"/>
            </w:pPr>
          </w:p>
        </w:tc>
      </w:tr>
      <w:tr>
        <w:tc>
          <w:tcPr>
            <w:tcW w:w="1365" w:type="dxa"/>
            <w:tcMar>
              <w:top w:type="dxa" w:w="60"/>
              <w:left w:type="dxa" w:w="120"/>
              <w:bottom w:type="dxa" w:w="30"/>
              <w:right w:type="dxa" w:w="120"/>
            </w:tcMar>
          </w:tcPr>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点选车位</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聚焦于泊车感知范围内的车位，视角接近俯视以使得车位交互热区清晰且尺寸符合需求</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w:t>
            </w:r>
            <w:r>
              <w:rPr>
                <w:rFonts w:eastAsia="等线" w:ascii="Arial" w:cs="Arial" w:hAnsi="Arial"/>
                <w:sz w:val="22"/>
              </w:rPr>
              <w:t>。原因同设计说明</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横向偏移镜头</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方向盘转角引发的镜头变化</w:t>
            </w:r>
          </w:p>
        </w:tc>
        <w:tc>
          <w:tcPr>
            <w:tcW w:w="1890" w:type="dxa"/>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在无固有横向偏移角度的视角下，速度大于 0 且横向偏转幅度超过给定最大值，镜头横向偏移幅度 = 方向盘转角系数 / 速度系数 （在镜头幅度阈值范围内）</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w:t>
            </w:r>
            <w:r>
              <w:rPr>
                <w:rFonts w:eastAsia="等线" w:ascii="Arial" w:cs="Arial" w:hAnsi="Arial"/>
                <w:sz w:val="22"/>
              </w:rPr>
              <w:t>。可大幅提升镜头在转弯时的呈现的真实体验感</w:t>
            </w:r>
          </w:p>
        </w:tc>
      </w:tr>
    </w:tbl>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b w:val="true"/>
          <w:sz w:val="32"/>
        </w:rPr>
        <w:t>行车事件优先级规则</w:t>
      </w:r>
      <w:bookmarkEnd w:id="7"/>
    </w:p>
    <w:p>
      <w:pPr>
        <w:pStyle w:val="3"/>
        <w:spacing w:before="300" w:after="120" w:line="288" w:lineRule="auto"/>
        <w:ind w:left="453"/>
        <w:jc w:val="left"/>
        <w:outlineLvl w:val="2"/>
      </w:pPr>
      <w:bookmarkStart w:name="heading_8" w:id="8"/>
      <w:r>
        <w:rPr>
          <w:rFonts w:eastAsia="等线" w:ascii="Arial" w:cs="Arial" w:hAnsi="Arial"/>
          <w:b w:val="true"/>
          <w:sz w:val="30"/>
        </w:rPr>
        <w:t>—— 不同事件镜头的冲替关系</w:t>
      </w:r>
      <w:bookmarkEnd w:id="8"/>
    </w:p>
    <w:p>
      <w:pPr>
        <w:spacing w:before="120" w:after="120" w:line="288" w:lineRule="auto"/>
        <w:ind w:left="453"/>
        <w:jc w:val="center"/>
      </w:pPr>
      <w:r>
        <w:drawing>
          <wp:inline distT="0" distR="0" distB="0" distL="0">
            <wp:extent cx="5257800" cy="4533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4533900"/>
                    </a:xfrm>
                    <a:prstGeom prst="rect">
                      <a:avLst/>
                    </a:prstGeom>
                  </pic:spPr>
                </pic:pic>
              </a:graphicData>
            </a:graphic>
          </wp:inline>
        </w:drawing>
      </w:r>
    </w:p>
    <w:p>
      <w:pPr>
        <w:pStyle w:val="2"/>
        <w:spacing w:before="320" w:after="120" w:line="288" w:lineRule="auto"/>
        <w:ind w:left="0"/>
        <w:jc w:val="left"/>
        <w:outlineLvl w:val="1"/>
      </w:pPr>
      <w:bookmarkStart w:name="heading_9" w:id="9"/>
      <w:r>
        <w:rPr>
          <w:rFonts w:eastAsia="等线" w:ascii="Arial" w:cs="Arial" w:hAnsi="Arial"/>
          <w:b w:val="true"/>
          <w:sz w:val="32"/>
        </w:rPr>
        <w:t>行车镜头的设计</w:t>
      </w:r>
      <w:bookmarkEnd w:id="9"/>
    </w:p>
    <w:p>
      <w:pPr>
        <w:numPr>
          <w:numId w:val="1"/>
        </w:numPr>
        <w:spacing w:before="120" w:after="120" w:line="288" w:lineRule="auto"/>
        <w:ind w:left="0"/>
        <w:jc w:val="left"/>
      </w:pPr>
      <w:r>
        <w:rPr>
          <w:rFonts w:eastAsia="等线" w:ascii="Arial" w:cs="Arial" w:hAnsi="Arial"/>
          <w:sz w:val="22"/>
        </w:rPr>
        <w:t>在行车模式下，相机跟随在自车的后方，呈现出一种“第三人称”的视角，既提供了驾驶的沉浸感，又保证对周围环境的充分展示</w:t>
      </w:r>
    </w:p>
    <w:p>
      <w:pPr>
        <w:numPr>
          <w:numId w:val="2"/>
        </w:numPr>
        <w:spacing w:before="120" w:after="120" w:line="288" w:lineRule="auto"/>
        <w:ind w:left="0"/>
        <w:jc w:val="left"/>
      </w:pPr>
      <w:r>
        <w:rPr>
          <w:rFonts w:eastAsia="等线" w:ascii="Arial" w:cs="Arial" w:hAnsi="Arial"/>
          <w:sz w:val="22"/>
        </w:rPr>
        <w:t>由于当前渲染框架下自车在地图上的行驶并非改变自车的世界坐标位置，暂时不采用更为灵活的游戏惯用的“第三人称跟随”方式</w:t>
      </w:r>
    </w:p>
    <w:p>
      <w:pPr>
        <w:pStyle w:val="1"/>
        <w:spacing w:before="380" w:after="140" w:line="288" w:lineRule="auto"/>
        <w:ind w:left="0"/>
        <w:jc w:val="left"/>
        <w:outlineLvl w:val="0"/>
      </w:pPr>
      <w:bookmarkStart w:name="heading_10" w:id="10"/>
      <w:r>
        <w:rPr>
          <w:rFonts w:eastAsia="等线" w:ascii="Arial" w:cs="Arial" w:hAnsi="Arial"/>
          <w:color w:val="3370ff"/>
          <w:sz w:val="36"/>
        </w:rPr>
        <w:t xml:space="preserve">3. </w:t>
      </w:r>
      <w:r>
        <w:rPr>
          <w:rFonts w:eastAsia="等线" w:ascii="Arial" w:cs="Arial" w:hAnsi="Arial"/>
          <w:b w:val="true"/>
          <w:sz w:val="36"/>
        </w:rPr>
        <w:t>相机参数空间变化</w:t>
      </w:r>
      <w:bookmarkEnd w:id="10"/>
    </w:p>
    <w:p>
      <w:pPr>
        <w:pStyle w:val="2"/>
        <w:spacing w:before="320" w:after="120" w:line="288" w:lineRule="auto"/>
        <w:ind w:left="453"/>
        <w:jc w:val="left"/>
        <w:outlineLvl w:val="1"/>
      </w:pPr>
      <w:bookmarkStart w:name="heading_11" w:id="11"/>
      <w:r>
        <w:rPr>
          <w:rFonts w:eastAsia="等线" w:ascii="Arial" w:cs="Arial" w:hAnsi="Arial"/>
          <w:b w:val="true"/>
          <w:sz w:val="32"/>
        </w:rPr>
        <w:t>—— “一镜到底”的实现原理</w:t>
      </w:r>
      <w:bookmarkEnd w:id="11"/>
    </w:p>
    <w:p>
      <w:pPr>
        <w:spacing w:before="120" w:after="120" w:line="288" w:lineRule="auto"/>
        <w:ind w:left="0"/>
        <w:jc w:val="left"/>
      </w:pPr>
      <w:r>
        <w:rPr>
          <w:rFonts w:eastAsia="等线" w:ascii="Arial" w:cs="Arial" w:hAnsi="Arial"/>
          <w:b w:val="true"/>
          <w:sz w:val="22"/>
        </w:rPr>
        <w:t>主视图竞争的结果不是“切镜头”，而是参数目标的覆盖。通过镜头参数的连续变化而非离散动画状态实现镜头之间的平滑过渡。</w:t>
      </w:r>
    </w:p>
    <w:p>
      <w:pPr>
        <w:pStyle w:val="2"/>
        <w:spacing w:before="320" w:after="120" w:line="288" w:lineRule="auto"/>
        <w:ind w:left="0"/>
        <w:jc w:val="left"/>
        <w:outlineLvl w:val="1"/>
      </w:pPr>
      <w:bookmarkStart w:name="heading_12" w:id="12"/>
      <w:r>
        <w:rPr>
          <w:rFonts w:eastAsia="等线" w:ascii="Arial" w:cs="Arial" w:hAnsi="Arial"/>
          <w:b w:val="true"/>
          <w:sz w:val="32"/>
        </w:rPr>
        <w:t>相机模式</w:t>
      </w:r>
      <w:bookmarkEnd w:id="12"/>
    </w:p>
    <w:p>
      <w:pPr>
        <w:spacing w:before="120" w:after="120" w:line="288" w:lineRule="auto"/>
        <w:ind w:left="0"/>
        <w:jc w:val="left"/>
      </w:pPr>
      <w:r>
        <w:rPr>
          <w:rFonts w:eastAsia="等线" w:ascii="Arial" w:cs="Arial" w:hAnsi="Arial"/>
          <w:b w:val="true"/>
          <w:sz w:val="22"/>
        </w:rPr>
        <w:t>镜头和自车位置保持一定的相对位置关系</w:t>
      </w:r>
    </w:p>
    <w:p>
      <w:pPr>
        <w:spacing w:before="120" w:after="120" w:line="288" w:lineRule="auto"/>
        <w:ind w:left="0"/>
        <w:jc w:val="left"/>
      </w:pPr>
      <w:r>
        <w:rPr>
          <w:rFonts w:eastAsia="等线" w:ascii="Arial" w:cs="Arial" w:hAnsi="Arial"/>
          <w:sz w:val="22"/>
        </w:rPr>
        <w:t>在大部分镜头下，相机看向“自车默认焦点”或一个“被偏移过的焦点”并和自车保持相对固定的空间位置关系；</w:t>
      </w:r>
    </w:p>
    <w:p>
      <w:pPr>
        <w:spacing w:before="120" w:after="120" w:line="288" w:lineRule="auto"/>
        <w:ind w:left="0"/>
        <w:jc w:val="left"/>
      </w:pPr>
      <w:r>
        <w:rPr>
          <w:rFonts w:eastAsia="等线" w:ascii="Arial" w:cs="Arial" w:hAnsi="Arial"/>
          <w:sz w:val="22"/>
        </w:rPr>
        <w:t>其效果为在一个固定的运镜状态下，自车在屏幕上的显示恒定不变</w:t>
      </w:r>
    </w:p>
    <w:p>
      <w:pPr>
        <w:spacing w:before="120" w:after="120" w:line="288" w:lineRule="auto"/>
        <w:ind w:left="0"/>
        <w:jc w:val="left"/>
      </w:pPr>
      <w:r>
        <w:drawing>
          <wp:inline distT="0" distR="0" distB="0" distL="0">
            <wp:extent cx="5257800" cy="25717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5717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选择该相机模式的原因</w:t>
      </w:r>
    </w:p>
    <w:p>
      <w:pPr>
        <w:spacing w:before="120" w:after="120" w:line="288" w:lineRule="auto"/>
        <w:ind w:left="0"/>
        <w:jc w:val="left"/>
      </w:pPr>
      <w:r>
        <w:rPr>
          <w:rFonts w:eastAsia="等线" w:ascii="Arial" w:cs="Arial" w:hAnsi="Arial"/>
          <w:sz w:val="22"/>
        </w:rPr>
        <w:t>在人机共驾地图中的特定驾驶/车辆功能下，需要给定看车模、地图场景的视角以让特定功能能够较好的实现</w:t>
      </w:r>
    </w:p>
    <w:p>
      <w:pPr>
        <w:spacing w:before="120" w:after="120" w:line="288" w:lineRule="auto"/>
        <w:ind w:left="0"/>
        <w:jc w:val="left"/>
      </w:pPr>
      <w:r>
        <w:rPr>
          <w:rFonts w:eastAsia="等线" w:ascii="Arial" w:cs="Arial" w:hAnsi="Arial"/>
          <w:sz w:val="22"/>
        </w:rPr>
        <w:t>且在车机环境中，不提倡用灵活度较高的相机，以免导致驾驶过程中的不良视觉体验和功能体验</w:t>
      </w:r>
    </w:p>
    <w:p>
      <w:pPr>
        <w:spacing w:before="120" w:after="120" w:line="288" w:lineRule="auto"/>
        <w:ind w:left="0"/>
        <w:jc w:val="left"/>
      </w:pPr>
      <w:r>
        <w:drawing>
          <wp:inline distT="0" distR="0" distB="0" distL="0">
            <wp:extent cx="5257800" cy="19335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1933575"/>
                    </a:xfrm>
                    <a:prstGeom prst="rect">
                      <a:avLst/>
                    </a:prstGeom>
                  </pic:spPr>
                </pic:pic>
              </a:graphicData>
            </a:graphic>
          </wp:inline>
        </w:drawing>
      </w:r>
    </w:p>
    <w:p>
      <w:pPr>
        <w:pStyle w:val="2"/>
        <w:spacing w:before="320" w:after="120" w:line="288" w:lineRule="auto"/>
        <w:ind w:left="0"/>
        <w:jc w:val="left"/>
        <w:outlineLvl w:val="1"/>
      </w:pPr>
      <w:bookmarkStart w:name="heading_13" w:id="13"/>
      <w:r>
        <w:rPr>
          <w:rFonts w:eastAsia="等线" w:ascii="Arial" w:cs="Arial" w:hAnsi="Arial"/>
          <w:b w:val="true"/>
          <w:sz w:val="32"/>
        </w:rPr>
        <w:t>镜头事件的通用触发和流转机制</w:t>
      </w:r>
      <w:bookmarkEnd w:id="13"/>
    </w:p>
    <w:tbl>
      <w:tblPr>
        <w:tblW w:w="0" w:type="auto"/>
        <w:tblInd w:w="0" w:type="dxa"/>
        <w:tblBorders>
          <w:top w:val="none" w:space="4"/>
          <w:left w:val="none" w:space="4"/>
          <w:bottom w:val="none" w:space="4"/>
          <w:right w:val="none" w:space="4"/>
          <w:insideH w:val="none" w:space="4"/>
          <w:insideV w:val="none" w:space="4"/>
        </w:tblBorders>
        <w:tblLayout w:type="fixed"/>
      </w:tblPr>
      <w:tblGrid>
        <w:gridCol w:w="4968"/>
        <w:gridCol w:w="3312"/>
      </w:tblGrid>
      <w:tr>
        <w:tc>
          <w:tcPr>
            <w:tcW w:w="4968" w:type="dxa"/>
            <w:tcMar>
              <w:top w:type="dxa" w:w="60"/>
              <w:left w:type="dxa" w:w="120"/>
              <w:bottom w:type="dxa" w:w="30"/>
              <w:right w:type="dxa" w:w="120"/>
            </w:tcMar>
          </w:tcPr>
          <w:p>
            <w:pPr>
              <w:spacing w:before="120" w:after="120" w:line="288" w:lineRule="auto"/>
              <w:ind w:left="0"/>
              <w:jc w:val="center"/>
            </w:pPr>
            <w:r>
              <w:drawing>
                <wp:inline distT="0" distR="0" distB="0" distL="0">
                  <wp:extent cx="3000375" cy="19240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3000375" cy="1924050"/>
                          </a:xfrm>
                          <a:prstGeom prst="rect">
                            <a:avLst/>
                          </a:prstGeom>
                        </pic:spPr>
                      </pic:pic>
                    </a:graphicData>
                  </a:graphic>
                </wp:inline>
              </w:drawing>
            </w:r>
          </w:p>
        </w:tc>
        <w:tc>
          <w:tcPr>
            <w:tcW w:w="3312" w:type="dxa"/>
            <w:tcMar>
              <w:top w:type="dxa" w:w="60"/>
              <w:left w:type="dxa" w:w="120"/>
              <w:bottom w:type="dxa" w:w="30"/>
              <w:right w:type="dxa" w:w="120"/>
            </w:tcMar>
          </w:tcPr>
          <w:p>
            <w:pPr>
              <w:spacing w:before="120" w:after="120" w:line="288" w:lineRule="auto"/>
              <w:ind w:left="0"/>
              <w:jc w:val="center"/>
            </w:pPr>
            <w:r>
              <w:drawing>
                <wp:inline distT="0" distR="0" distB="0" distL="0">
                  <wp:extent cx="1943100" cy="19431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1943100" cy="1943100"/>
                          </a:xfrm>
                          <a:prstGeom prst="rect">
                            <a:avLst/>
                          </a:prstGeom>
                        </pic:spPr>
                      </pic:pic>
                    </a:graphicData>
                  </a:graphic>
                </wp:inline>
              </w:drawing>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4968"/>
        <w:gridCol w:w="3312"/>
      </w:tblGrid>
      <w:tr>
        <w:tc>
          <w:tcPr>
            <w:tcW w:w="4968" w:type="dxa"/>
            <w:tcMar>
              <w:top w:type="dxa" w:w="60"/>
              <w:left w:type="dxa" w:w="120"/>
              <w:bottom w:type="dxa" w:w="30"/>
              <w:right w:type="dxa" w:w="120"/>
            </w:tcMar>
          </w:tcPr>
          <w:p>
            <w:pPr>
              <w:spacing w:before="120" w:after="120" w:line="288" w:lineRule="auto"/>
              <w:ind w:left="0"/>
              <w:jc w:val="center"/>
            </w:pPr>
            <w:r>
              <w:drawing>
                <wp:inline distT="0" distR="0" distB="0" distL="0">
                  <wp:extent cx="3000375" cy="18478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3000375" cy="1847850"/>
                          </a:xfrm>
                          <a:prstGeom prst="rect">
                            <a:avLst/>
                          </a:prstGeom>
                        </pic:spPr>
                      </pic:pic>
                    </a:graphicData>
                  </a:graphic>
                </wp:inline>
              </w:drawing>
            </w:r>
          </w:p>
        </w:tc>
        <w:tc>
          <w:tcPr>
            <w:tcW w:w="3312" w:type="dxa"/>
            <w:tcMar>
              <w:top w:type="dxa" w:w="60"/>
              <w:left w:type="dxa" w:w="120"/>
              <w:bottom w:type="dxa" w:w="30"/>
              <w:right w:type="dxa" w:w="120"/>
            </w:tcMar>
          </w:tcPr>
          <w:p>
            <w:pPr>
              <w:spacing w:before="120" w:after="120" w:line="288" w:lineRule="auto"/>
              <w:ind w:left="0"/>
              <w:jc w:val="center"/>
            </w:pPr>
            <w:r>
              <w:drawing>
                <wp:inline distT="0" distR="0" distB="0" distL="0">
                  <wp:extent cx="1943100" cy="19431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1943100" cy="1943100"/>
                          </a:xfrm>
                          <a:prstGeom prst="rect">
                            <a:avLst/>
                          </a:prstGeom>
                        </pic:spPr>
                      </pic:pic>
                    </a:graphicData>
                  </a:graphic>
                </wp:inline>
              </w:drawing>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4968"/>
        <w:gridCol w:w="3312"/>
      </w:tblGrid>
      <w:tr>
        <w:tc>
          <w:tcPr>
            <w:tcW w:w="4968" w:type="dxa"/>
            <w:tcMar>
              <w:top w:type="dxa" w:w="60"/>
              <w:left w:type="dxa" w:w="120"/>
              <w:bottom w:type="dxa" w:w="30"/>
              <w:right w:type="dxa" w:w="120"/>
            </w:tcMar>
          </w:tcPr>
          <w:p>
            <w:pPr>
              <w:spacing w:before="120" w:after="120" w:line="288" w:lineRule="auto"/>
              <w:ind w:left="0"/>
              <w:jc w:val="center"/>
            </w:pPr>
            <w:r>
              <w:drawing>
                <wp:inline distT="0" distR="0" distB="0" distL="0">
                  <wp:extent cx="3000375" cy="21717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3000375" cy="2171700"/>
                          </a:xfrm>
                          <a:prstGeom prst="rect">
                            <a:avLst/>
                          </a:prstGeom>
                        </pic:spPr>
                      </pic:pic>
                    </a:graphicData>
                  </a:graphic>
                </wp:inline>
              </w:drawing>
            </w:r>
          </w:p>
        </w:tc>
        <w:tc>
          <w:tcPr>
            <w:tcW w:w="3312" w:type="dxa"/>
            <w:tcMar>
              <w:top w:type="dxa" w:w="60"/>
              <w:left w:type="dxa" w:w="120"/>
              <w:bottom w:type="dxa" w:w="30"/>
              <w:right w:type="dxa" w:w="120"/>
            </w:tcMar>
          </w:tcPr>
          <w:p>
            <w:pPr>
              <w:spacing w:before="120" w:after="120" w:line="288" w:lineRule="auto"/>
              <w:ind w:left="0"/>
              <w:jc w:val="center"/>
            </w:pPr>
            <w:r>
              <w:drawing>
                <wp:inline distT="0" distR="0" distB="0" distL="0">
                  <wp:extent cx="1943100" cy="19431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1943100" cy="1943100"/>
                          </a:xfrm>
                          <a:prstGeom prst="rect">
                            <a:avLst/>
                          </a:prstGeom>
                        </pic:spPr>
                      </pic:pic>
                    </a:graphicData>
                  </a:graphic>
                </wp:inline>
              </w:drawing>
            </w:r>
          </w:p>
        </w:tc>
      </w:tr>
    </w:tbl>
    <w:p>
      <w:pPr>
        <w:pStyle w:val="1"/>
        <w:spacing w:before="380" w:after="140" w:line="288" w:lineRule="auto"/>
        <w:ind w:left="0"/>
        <w:jc w:val="left"/>
        <w:outlineLvl w:val="0"/>
      </w:pPr>
      <w:bookmarkStart w:name="heading_14" w:id="14"/>
      <w:r>
        <w:rPr>
          <w:rFonts w:eastAsia="等线" w:ascii="Arial" w:cs="Arial" w:hAnsi="Arial"/>
          <w:color w:val="3370ff"/>
          <w:sz w:val="36"/>
        </w:rPr>
        <w:t xml:space="preserve">4. </w:t>
      </w:r>
      <w:r>
        <w:rPr>
          <w:rFonts w:eastAsia="等线" w:ascii="Arial" w:cs="Arial" w:hAnsi="Arial"/>
          <w:b w:val="true"/>
          <w:sz w:val="36"/>
        </w:rPr>
        <w:t>3D 地图视图呈现</w:t>
      </w:r>
      <w:bookmarkEnd w:id="14"/>
    </w:p>
    <w:p>
      <w:pPr>
        <w:pStyle w:val="2"/>
        <w:spacing w:before="320" w:after="120" w:line="288" w:lineRule="auto"/>
        <w:ind w:left="0"/>
        <w:jc w:val="left"/>
        <w:outlineLvl w:val="1"/>
      </w:pPr>
      <w:bookmarkStart w:name="heading_15" w:id="15"/>
      <w:r>
        <w:rPr>
          <w:rFonts w:eastAsia="等线" w:ascii="Arial" w:cs="Arial" w:hAnsi="Arial"/>
          <w:b w:val="true"/>
          <w:sz w:val="32"/>
        </w:rPr>
        <w:t>行车运镜视角示例</w:t>
      </w:r>
      <w:bookmarkEnd w:id="15"/>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8191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2476500" cy="8191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手动驾驶默认视角</w:t>
              <w:br/>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8191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2476500" cy="8191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AVP 自动泊入视角</w:t>
              <w:br/>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4122"/>
        <w:gridCol w:w="4157"/>
      </w:tblGrid>
      <w:tr>
        <w:tc>
          <w:tcPr>
            <w:tcW w:w="4122" w:type="dxa"/>
            <w:tcMar>
              <w:top w:type="dxa" w:w="60"/>
              <w:left w:type="dxa" w:w="120"/>
              <w:bottom w:type="dxa" w:w="30"/>
              <w:right w:type="dxa" w:w="120"/>
            </w:tcMar>
          </w:tcPr>
          <w:p>
            <w:pPr>
              <w:spacing w:before="120" w:after="120" w:line="288" w:lineRule="auto"/>
              <w:ind w:left="0"/>
              <w:jc w:val="center"/>
            </w:pPr>
            <w:r>
              <w:drawing>
                <wp:inline distT="0" distR="0" distB="0" distL="0">
                  <wp:extent cx="2457450" cy="8191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2457450" cy="8191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辅助驾驶自动变道视角</w:t>
              <w:br/>
            </w:r>
          </w:p>
        </w:tc>
        <w:tc>
          <w:tcPr>
            <w:tcW w:w="4157" w:type="dxa"/>
            <w:tcMar>
              <w:top w:type="dxa" w:w="60"/>
              <w:left w:type="dxa" w:w="120"/>
              <w:bottom w:type="dxa" w:w="30"/>
              <w:right w:type="dxa" w:w="120"/>
            </w:tcMar>
          </w:tcPr>
          <w:p>
            <w:pPr>
              <w:spacing w:before="120" w:after="120" w:line="288" w:lineRule="auto"/>
              <w:ind w:left="0"/>
              <w:jc w:val="center"/>
            </w:pPr>
            <w:r>
              <w:drawing>
                <wp:inline distT="0" distR="0" distB="0" distL="0">
                  <wp:extent cx="2486025" cy="8191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2486025" cy="8191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导航驾驶视角</w:t>
              <w:br/>
            </w:r>
          </w:p>
          <w:p>
            <w:pPr>
              <w:spacing w:before="120" w:after="120" w:line="288" w:lineRule="auto"/>
              <w:ind w:left="0"/>
              <w:jc w:val="left"/>
            </w:pPr>
          </w:p>
        </w:tc>
      </w:tr>
    </w:tbl>
    <w:p>
      <w:pPr>
        <w:pStyle w:val="1"/>
        <w:spacing w:before="380" w:after="140" w:line="288" w:lineRule="auto"/>
        <w:ind w:left="0"/>
        <w:jc w:val="left"/>
        <w:outlineLvl w:val="0"/>
      </w:pPr>
      <w:bookmarkStart w:name="heading_16" w:id="16"/>
      <w:r>
        <w:rPr>
          <w:rFonts w:eastAsia="等线" w:ascii="Arial" w:cs="Arial" w:hAnsi="Arial"/>
          <w:color w:val="3370ff"/>
          <w:sz w:val="36"/>
        </w:rPr>
        <w:t xml:space="preserve">5. </w:t>
      </w:r>
      <w:r>
        <w:rPr>
          <w:rFonts w:eastAsia="等线" w:ascii="Arial" w:cs="Arial" w:hAnsi="Arial"/>
          <w:b w:val="true"/>
          <w:sz w:val="36"/>
        </w:rPr>
        <w:t>驻车运镜</w:t>
      </w:r>
      <w:bookmarkEnd w:id="16"/>
    </w:p>
    <w:p>
      <w:pPr>
        <w:pStyle w:val="2"/>
        <w:spacing w:before="320" w:after="120" w:line="288" w:lineRule="auto"/>
        <w:ind w:left="0"/>
        <w:jc w:val="left"/>
        <w:outlineLvl w:val="1"/>
      </w:pPr>
      <w:bookmarkStart w:name="heading_17" w:id="17"/>
      <w:r>
        <w:rPr>
          <w:rFonts w:eastAsia="等线" w:ascii="Arial" w:cs="Arial" w:hAnsi="Arial"/>
          <w:b w:val="true"/>
          <w:sz w:val="32"/>
        </w:rPr>
        <w:t>驻车镜头的设计</w:t>
      </w:r>
      <w:bookmarkEnd w:id="17"/>
    </w:p>
    <w:p>
      <w:pPr>
        <w:spacing w:before="120" w:after="120" w:line="288" w:lineRule="auto"/>
        <w:ind w:left="0"/>
        <w:jc w:val="left"/>
      </w:pPr>
      <w:r>
        <w:rPr>
          <w:rFonts w:eastAsia="等线" w:ascii="Arial" w:cs="Arial" w:hAnsi="Arial"/>
          <w:sz w:val="22"/>
        </w:rPr>
        <w:t>在驻车模式下，镜头往往服务于特定功能下的车模交互、车辆整体或部件的状态展示，镜头更聚焦于车身或车身某一定点，因此采取更聚焦的镜头。此外默认P 档镜头需要兼顾车身和周遭环境。</w:t>
      </w:r>
    </w:p>
    <w:p>
      <w:pPr>
        <w:pStyle w:val="2"/>
        <w:spacing w:before="320" w:after="120" w:line="288" w:lineRule="auto"/>
        <w:ind w:left="0"/>
        <w:jc w:val="left"/>
        <w:outlineLvl w:val="1"/>
      </w:pPr>
      <w:bookmarkStart w:name="heading_18" w:id="18"/>
      <w:r>
        <w:rPr>
          <w:rFonts w:eastAsia="等线" w:ascii="Arial" w:cs="Arial" w:hAnsi="Arial"/>
          <w:b w:val="true"/>
          <w:sz w:val="32"/>
        </w:rPr>
        <w:t>驻车事件</w:t>
      </w:r>
      <w:bookmarkEnd w:id="18"/>
    </w:p>
    <w:p>
      <w:pPr>
        <w:spacing w:before="120" w:after="120" w:line="288" w:lineRule="auto"/>
        <w:ind w:left="0"/>
        <w:jc w:val="left"/>
      </w:pPr>
      <w:r>
        <w:rPr>
          <w:rFonts w:eastAsia="等线" w:ascii="Arial" w:cs="Arial" w:hAnsi="Arial"/>
          <w:sz w:val="22"/>
        </w:rPr>
        <w:t>驻车事件分为三个状态大类，车辆状态类（如充电，组件交互联动类（如车门窗控件、故障标识），车模交互类（如轮胎）。</w:t>
      </w:r>
    </w:p>
    <w:p>
      <w:pPr>
        <w:spacing w:before="120" w:after="120" w:line="288" w:lineRule="auto"/>
        <w:ind w:left="0"/>
        <w:jc w:val="left"/>
      </w:pPr>
      <w:r>
        <w:rPr>
          <w:rFonts w:eastAsia="等线" w:ascii="Arial" w:cs="Arial" w:hAnsi="Arial"/>
          <w:sz w:val="22"/>
        </w:rPr>
        <w:t>3d 场景配合的场景演示</w:t>
      </w:r>
    </w:p>
    <w:p>
      <w:pPr>
        <w:spacing w:before="120" w:after="120" w:line="288" w:lineRule="auto"/>
        <w:ind w:left="0"/>
        <w:jc w:val="left"/>
      </w:pPr>
      <w:r>
        <w:rPr>
          <w:rFonts w:eastAsia="等线" w:ascii="Arial" w:cs="Arial" w:hAnsi="Arial"/>
          <w:sz w:val="22"/>
        </w:rPr>
        <w:t xml:space="preserve">        伴随车控车设内的用户查看功能说明</w:t>
      </w:r>
    </w:p>
    <w:p>
      <w:pPr>
        <w:spacing w:before="120" w:after="120" w:line="288" w:lineRule="auto"/>
        <w:ind w:left="0"/>
        <w:jc w:val="left"/>
      </w:pPr>
      <w:r>
        <w:rPr>
          <w:rFonts w:eastAsia="等线" w:ascii="Arial" w:cs="Arial" w:hAnsi="Arial"/>
          <w:sz w:val="22"/>
        </w:rPr>
        <w:t xml:space="preserve">        用户查看里程能耗、充电状态</w:t>
      </w:r>
    </w:p>
    <w:p>
      <w:pPr>
        <w:spacing w:before="120" w:after="120" w:line="288" w:lineRule="auto"/>
        <w:ind w:left="0"/>
        <w:jc w:val="left"/>
      </w:pPr>
      <w:r>
        <w:rPr>
          <w:rFonts w:eastAsia="等线" w:ascii="Arial" w:cs="Arial" w:hAnsi="Arial"/>
          <w:sz w:val="22"/>
        </w:rPr>
        <w:t>用户和 3d 场景组件交互</w:t>
      </w:r>
    </w:p>
    <w:p>
      <w:pPr>
        <w:spacing w:before="120" w:after="120" w:line="288" w:lineRule="auto"/>
        <w:ind w:left="0"/>
        <w:jc w:val="left"/>
      </w:pPr>
      <w:r>
        <w:rPr>
          <w:rFonts w:eastAsia="等线" w:ascii="Arial" w:cs="Arial" w:hAnsi="Arial"/>
          <w:sz w:val="22"/>
        </w:rPr>
        <w:t xml:space="preserve">        使用模型触发开门、查看胎温胎压等指令</w:t>
      </w:r>
    </w:p>
    <w:p>
      <w:pPr>
        <w:spacing w:before="120" w:after="120" w:line="288" w:lineRule="auto"/>
        <w:ind w:left="0"/>
        <w:jc w:val="left"/>
      </w:pPr>
      <w:r>
        <w:rPr>
          <w:rFonts w:eastAsia="等线" w:ascii="Arial" w:cs="Arial" w:hAnsi="Arial"/>
          <w:sz w:val="22"/>
        </w:rPr>
        <w:t xml:space="preserve">        点击故障位置标识查看</w:t>
      </w:r>
    </w:p>
    <w:p>
      <w:pPr>
        <w:spacing w:before="120" w:after="120" w:line="288" w:lineRule="auto"/>
        <w:ind w:left="0"/>
        <w:jc w:val="center"/>
      </w:pPr>
      <w:r>
        <w:drawing>
          <wp:inline distT="0" distR="0" distB="0" distL="0">
            <wp:extent cx="4667250" cy="32194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4667250" cy="3219450"/>
                    </a:xfrm>
                    <a:prstGeom prst="rect">
                      <a:avLst/>
                    </a:prstGeom>
                  </pic:spPr>
                </pic:pic>
              </a:graphicData>
            </a:graphic>
          </wp:inline>
        </w:drawing>
      </w:r>
    </w:p>
    <w:p>
      <w:pPr>
        <w:pStyle w:val="2"/>
        <w:spacing w:before="320" w:after="120" w:line="288" w:lineRule="auto"/>
        <w:ind w:left="0"/>
        <w:jc w:val="left"/>
        <w:outlineLvl w:val="1"/>
      </w:pPr>
      <w:bookmarkStart w:name="heading_19" w:id="19"/>
      <w:r>
        <w:rPr>
          <w:rFonts w:eastAsia="等线" w:ascii="Arial" w:cs="Arial" w:hAnsi="Arial"/>
          <w:b w:val="true"/>
          <w:sz w:val="32"/>
        </w:rPr>
        <w:t>驻车事件优先级规则</w:t>
      </w:r>
      <w:bookmarkEnd w:id="19"/>
    </w:p>
    <w:p>
      <w:pPr>
        <w:spacing w:before="120" w:after="120" w:line="288" w:lineRule="auto"/>
        <w:ind w:left="0"/>
        <w:jc w:val="left"/>
      </w:pPr>
      <w:r>
        <w:rPr>
          <w:rFonts w:eastAsia="等线" w:ascii="Arial" w:cs="Arial" w:hAnsi="Arial"/>
          <w:sz w:val="22"/>
        </w:rPr>
        <w:t>在车辆状态镜头系统中也存在镜头优先级仲裁策略。例如，若车身同时多处出现多个异常状态或充电状态的叠加，则选择优先级高的事件镜头进行展示。</w:t>
      </w:r>
    </w:p>
    <w:p>
      <w:pPr>
        <w:spacing w:before="120" w:after="120" w:line="288" w:lineRule="auto"/>
        <w:ind w:left="0"/>
        <w:jc w:val="center"/>
      </w:pPr>
      <w:r>
        <w:drawing>
          <wp:inline distT="0" distR="0" distB="0" distL="0">
            <wp:extent cx="5257800" cy="210502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2105025"/>
                    </a:xfrm>
                    <a:prstGeom prst="rect">
                      <a:avLst/>
                    </a:prstGeom>
                  </pic:spPr>
                </pic:pic>
              </a:graphicData>
            </a:graphic>
          </wp:inline>
        </w:drawing>
      </w:r>
    </w:p>
    <w:p>
      <w:pPr>
        <w:pStyle w:val="2"/>
        <w:spacing w:before="320" w:after="120" w:line="288" w:lineRule="auto"/>
        <w:ind w:left="0"/>
        <w:jc w:val="left"/>
        <w:outlineLvl w:val="1"/>
      </w:pPr>
      <w:bookmarkStart w:name="heading_20" w:id="20"/>
      <w:r>
        <w:rPr>
          <w:rFonts w:eastAsia="等线" w:ascii="Arial" w:cs="Arial" w:hAnsi="Arial"/>
          <w:b w:val="true"/>
          <w:sz w:val="32"/>
        </w:rPr>
        <w:t>驻车运镜视角示例</w:t>
      </w:r>
      <w:bookmarkEnd w:id="20"/>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81915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2476500" cy="8191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传感器 L1 异常故障查看视角</w:t>
              <w:br/>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81915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2476500" cy="8191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车门 R1 异常故障查看视角</w:t>
              <w:br/>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8191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2"/>
                          <a:stretch>
                            <a:fillRect/>
                          </a:stretch>
                        </pic:blipFill>
                        <pic:spPr>
                          <a:xfrm>
                            <a:off x="0" y="0"/>
                            <a:ext cx="2476500" cy="8191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充电视角</w:t>
              <w:br/>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81915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3"/>
                          <a:stretch>
                            <a:fillRect/>
                          </a:stretch>
                        </pic:blipFill>
                        <pic:spPr>
                          <a:xfrm>
                            <a:off x="0" y="0"/>
                            <a:ext cx="2476500" cy="8191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胎温胎压异常视角</w:t>
              <w:br/>
            </w:r>
          </w:p>
          <w:p>
            <w:pPr>
              <w:spacing w:before="120" w:after="120" w:line="288" w:lineRule="auto"/>
              <w:ind w:left="0"/>
              <w:jc w:val="left"/>
            </w:pPr>
          </w:p>
        </w:tc>
      </w:tr>
    </w:tbl>
    <w:p>
      <w:pPr>
        <w:spacing w:before="120" w:after="120" w:line="288" w:lineRule="auto"/>
        <w:ind w:left="0"/>
        <w:jc w:val="left"/>
      </w:pPr>
    </w:p>
    <w:sectPr>
      <w:footerReference w:type="default" r:id="rId3"/>
      <w:headerReference w:type="default" r:id="rId2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17928">
    <w:lvl>
      <w:numFmt w:val="bullet"/>
      <w:suff w:val="tab"/>
      <w:lvlText w:val="•"/>
      <w:rPr>
        <w:color w:val="3370ff"/>
      </w:rPr>
    </w:lvl>
  </w:abstractNum>
  <w:abstractNum w:abstractNumId="617929">
    <w:lvl>
      <w:numFmt w:val="bullet"/>
      <w:suff w:val="tab"/>
      <w:lvlText w:val="•"/>
      <w:rPr>
        <w:color w:val="3370ff"/>
      </w:rPr>
    </w:lvl>
  </w:abstractNum>
  <w:num w:numId="1">
    <w:abstractNumId w:val="617928"/>
  </w:num>
  <w:num w:numId="2">
    <w:abstractNumId w:val="61792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23" Target="media/image19.png" Type="http://schemas.openxmlformats.org/officeDocument/2006/relationships/image"/><Relationship Id="rId24" Target="header1.xml" Type="http://schemas.openxmlformats.org/officeDocument/2006/relationships/header"/><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2026-03-07T13:26:14Z</dcterms:created>
  <dc:creator>Apache POI</dc:creator>
</cp:coreProperties>
</file>