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「初始生成」基准参数的设定依据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初始参数分布来源于参考图解析与风格库匹配，仅作为系统的先验假设，允许在 1–2 轮用户反馈内被快速修正或推翻。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目标：</w:t>
      </w:r>
      <w:r>
        <w:rPr>
          <w:rFonts w:eastAsia="等线" w:ascii="Arial" w:cs="Arial" w:hAnsi="Arial"/>
          <w:sz w:val="22"/>
        </w:rPr>
        <w:t>为系统提供第一组“可被快速推翻的先验假设”，为深度了解用户偏好做材料基础。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定义: </w:t>
      </w:r>
      <w:r>
        <w:rPr>
          <w:rFonts w:eastAsia="等线" w:ascii="Arial" w:cs="Arial" w:hAnsi="Arial"/>
          <w:sz w:val="22"/>
        </w:rPr>
        <w:t>每个槽位（Slot）由一个</w:t>
      </w:r>
      <w:r>
        <w:rPr>
          <w:rFonts w:eastAsia="等线" w:ascii="Arial" w:cs="Arial" w:hAnsi="Arial"/>
          <w:b w:val="true"/>
          <w:sz w:val="22"/>
        </w:rPr>
        <w:t xml:space="preserve">内部参数轴（Internal Axes) </w:t>
      </w:r>
      <w:r>
        <w:rPr>
          <w:rFonts w:eastAsia="等线" w:ascii="Arial" w:cs="Arial" w:hAnsi="Arial"/>
          <w:sz w:val="22"/>
        </w:rPr>
        <w:t>表示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示例（Color Slot）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color:</w:t>
              <w:br/>
              <w:t xml:space="preserve">  hue_bias: 0.30</w:t>
              <w:br/>
              <w:t xml:space="preserve">  saturation: 0.55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lightness: 0.48  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基准参数来源</w:t>
      </w:r>
      <w:r>
        <w:rPr>
          <w:rFonts w:eastAsia="等线" w:ascii="Arial" w:cs="Arial" w:hAnsi="Arial"/>
          <w:sz w:val="22"/>
        </w:rPr>
        <w:t>（该部分不在此文档内详细展开）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用户上传的参考图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设计师风格库相似样本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参数迭代原则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不允许任何 internal axis 在初始化阶段落在其可用区间的极端边界（如 &lt;0.1 或 &gt;0.9），以避免初始假设过于激进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所有槽位初始状态均为 </w:t>
      </w:r>
      <w:r>
        <w:rPr>
          <w:rFonts w:eastAsia="Consolas" w:ascii="Consolas" w:cs="Consolas" w:hAnsi="Consolas"/>
          <w:sz w:val="22"/>
          <w:shd w:fill="EFF0F1"/>
        </w:rPr>
        <w:t>Open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第一轮图片的参数设定（Round 1 Sampling）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第一轮生成以 Base 为锚点，每张探索图仅在单一槽位上进行有限参数偏移，以建立清晰可归因的用户反馈信号。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：在不引入用户负担的前提下，快速验证各槽位方向是否符合用户的预期。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生成规则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第一轮生成 N 张图（通常 4–5张）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1 张 Base（Anchor）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其余每张图仅调整一个槽位的参数分布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调整方式（单槽位探索）：</w:t>
      </w:r>
      <w:r>
        <w:rPr>
          <w:rFonts w:eastAsia="等线" w:ascii="Arial" w:cs="Arial" w:hAnsi="Arial"/>
          <w:sz w:val="22"/>
        </w:rPr>
        <w:t>对于某一槽位，在当前参数分布基础上，对其中一个参数做</w:t>
      </w:r>
      <w:r>
        <w:rPr>
          <w:rFonts w:eastAsia="等线" w:ascii="Arial" w:cs="Arial" w:hAnsi="Arial"/>
          <w:b w:val="true"/>
          <w:sz w:val="22"/>
        </w:rPr>
        <w:t>有限幅度偏移</w:t>
      </w:r>
      <w:r>
        <w:rPr>
          <w:rFonts w:eastAsia="等线" w:ascii="Arial" w:cs="Arial" w:hAnsi="Arial"/>
          <w:sz w:val="22"/>
        </w:rPr>
        <w:t>，且不改变其他槽位。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YAML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Base:</w:t>
              <w:br/>
              <w:t xml:space="preserve">  color:</w:t>
              <w:br/>
              <w:t xml:space="preserve">    saturation: 0.52</w:t>
              <w:br/>
              <w:br/>
              <w:t>Exploration:</w:t>
              <w:br/>
              <w:t xml:space="preserve">  color: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saturation: 0.60   # +Δ=0.08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第一轮探索规则：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单图只允许单槽位中的一个“轴”的数值变动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其他 axis 与其他槽位相较于Base保持不变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046290">
    <w:lvl>
      <w:start w:val="1"/>
      <w:numFmt w:val="decimal"/>
      <w:suff w:val="tab"/>
      <w:lvlText w:val="%1."/>
      <w:rPr>
        <w:color w:val="3370ff"/>
      </w:rPr>
    </w:lvl>
  </w:abstractNum>
  <w:abstractNum w:abstractNumId="1046291">
    <w:lvl>
      <w:start w:val="2"/>
      <w:numFmt w:val="decimal"/>
      <w:suff w:val="tab"/>
      <w:lvlText w:val="%1."/>
      <w:rPr>
        <w:color w:val="3370ff"/>
      </w:rPr>
    </w:lvl>
  </w:abstractNum>
  <w:abstractNum w:abstractNumId="1046292">
    <w:lvl>
      <w:numFmt w:val="bullet"/>
      <w:suff w:val="tab"/>
      <w:lvlText w:val="•"/>
      <w:rPr>
        <w:color w:val="3370ff"/>
      </w:rPr>
    </w:lvl>
  </w:abstractNum>
  <w:abstractNum w:abstractNumId="1046293">
    <w:lvl>
      <w:numFmt w:val="bullet"/>
      <w:suff w:val="tab"/>
      <w:lvlText w:val="•"/>
      <w:rPr>
        <w:color w:val="3370ff"/>
      </w:rPr>
    </w:lvl>
  </w:abstractNum>
  <w:abstractNum w:abstractNumId="1046294">
    <w:lvl>
      <w:numFmt w:val="bullet"/>
      <w:suff w:val="tab"/>
      <w:lvlText w:val="•"/>
      <w:rPr>
        <w:color w:val="3370ff"/>
      </w:rPr>
    </w:lvl>
  </w:abstractNum>
  <w:abstractNum w:abstractNumId="1046295">
    <w:lvl>
      <w:numFmt w:val="bullet"/>
      <w:suff w:val="tab"/>
      <w:lvlText w:val="￮"/>
      <w:rPr>
        <w:color w:val="3370ff"/>
      </w:rPr>
    </w:lvl>
  </w:abstractNum>
  <w:abstractNum w:abstractNumId="1046296">
    <w:lvl>
      <w:numFmt w:val="bullet"/>
      <w:suff w:val="tab"/>
      <w:lvlText w:val="￮"/>
      <w:rPr>
        <w:color w:val="3370ff"/>
      </w:rPr>
    </w:lvl>
  </w:abstractNum>
  <w:abstractNum w:abstractNumId="1046297">
    <w:lvl>
      <w:numFmt w:val="bullet"/>
      <w:suff w:val="tab"/>
      <w:lvlText w:val="•"/>
      <w:rPr>
        <w:color w:val="3370ff"/>
      </w:rPr>
    </w:lvl>
  </w:abstractNum>
  <w:abstractNum w:abstractNumId="1046298">
    <w:lvl>
      <w:numFmt w:val="bullet"/>
      <w:suff w:val="tab"/>
      <w:lvlText w:val="•"/>
      <w:rPr>
        <w:color w:val="3370ff"/>
      </w:rPr>
    </w:lvl>
  </w:abstractNum>
  <w:num w:numId="1">
    <w:abstractNumId w:val="1046290"/>
  </w:num>
  <w:num w:numId="2">
    <w:abstractNumId w:val="1046291"/>
  </w:num>
  <w:num w:numId="3">
    <w:abstractNumId w:val="1046292"/>
  </w:num>
  <w:num w:numId="4">
    <w:abstractNumId w:val="1046293"/>
  </w:num>
  <w:num w:numId="5">
    <w:abstractNumId w:val="1046294"/>
  </w:num>
  <w:num w:numId="6">
    <w:abstractNumId w:val="1046295"/>
  </w:num>
  <w:num w:numId="7">
    <w:abstractNumId w:val="1046296"/>
  </w:num>
  <w:num w:numId="8">
    <w:abstractNumId w:val="1046297"/>
  </w:num>
  <w:num w:numId="9">
    <w:abstractNumId w:val="104629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2026-03-15T16:52:15Z</dcterms:created>
  <dc:creator>Apache POI</dc:creator>
</cp:coreProperties>
</file>