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用户喜好驱动的槽位参数值变化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用户喜好驱动的槽位参数值变化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基础规则</w:t>
      </w:r>
      <w:r>
        <w:rPr>
          <w:rFonts w:eastAsia="等线" w:ascii="Arial" w:cs="Arial" w:hAnsi="Arial"/>
          <w:sz w:val="22"/>
        </w:rPr>
        <w:t>：用户选择Like / Dislike 影响内部槽位参数值发生偏移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000250" cy="2657475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26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用户可对单个生成图案进行增加/减少推荐的操作</w:t>
              <w:br/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规则描述：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1305"/>
              <w:gridCol w:w="2595"/>
            </w:tblGrid>
            <w:tr>
              <w:tc>
                <w:tcPr>
                  <w:tcW w:w="13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喜欢一张图</w:t>
                  </w:r>
                </w:p>
              </w:tc>
              <w:tc>
                <w:tcPr>
                  <w:tcW w:w="25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强化这张图相对基准所做的“改动方向”</w:t>
                  </w:r>
                </w:p>
              </w:tc>
            </w:tr>
            <w:tr>
              <w:tc>
                <w:tcPr>
                  <w:tcW w:w="130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不喜欢一张图</w:t>
                  </w:r>
                </w:p>
              </w:tc>
              <w:tc>
                <w:tcPr>
                  <w:tcW w:w="2595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削弱或反向调整该改动方向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用户点击「喜欢 👍」对下一轮图的影响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用户对某图的「喜欢」会使该图参数成为下一轮生成的采样中心，并在其邻域内进行局部微调，以强化用户心智并验证偏好稳定性。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系统行为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当用户对某张图点击 👍：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该图的完整参数组合被记录为一个 </w:t>
      </w:r>
      <w:r>
        <w:rPr>
          <w:rFonts w:eastAsia="等线" w:ascii="Arial" w:cs="Arial" w:hAnsi="Arial"/>
          <w:b w:val="true"/>
          <w:sz w:val="22"/>
        </w:rPr>
        <w:t>Anchor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下一轮生成中：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必定至少生成 </w:t>
      </w:r>
      <w:r>
        <w:rPr>
          <w:rFonts w:eastAsia="等线" w:ascii="Arial" w:cs="Arial" w:hAnsi="Arial"/>
          <w:b w:val="true"/>
          <w:sz w:val="22"/>
        </w:rPr>
        <w:t>1 张以该 Anchor 为中心的微调图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微调方式：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Anchor 的完整 internal axes 组合被记录为新的采样中心；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下一轮采样仅在该 Anchor 的各 axis 邻域内进行小幅连续偏移。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anchor:</w:t>
              <w:br/>
              <w:t xml:space="preserve">  color:</w:t>
              <w:br/>
              <w:t xml:space="preserve">    saturation: 0.60</w:t>
              <w:br/>
              <w:t xml:space="preserve">    lightness: 0.48</w:t>
              <w:br/>
              <w:br/>
              <w:t>next_round_sampling:</w:t>
              <w:br/>
              <w:t xml:space="preserve">  color.saturation ∈ [0.56, 0.64]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color.lightness  ∈ [0.45, 0.51]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多个 👍 的情况</w:t>
      </w:r>
      <w:bookmarkEnd w:id="3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 👍 图各自成为一个 Anchor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下一轮：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每个 Anchor 最多派生 1 张新图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总生成数仍受上限控制（见第 5 点）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4️⃣ 用户点击「不喜欢 👎」对下一轮图的影响</w:t>
      </w:r>
      <w:bookmarkEnd w:id="4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用户感知：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该图在当前轮中立即消失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下一轮不推荐与此相似的图案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系统行为：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将该 axis 区间标记为</w:t>
      </w:r>
      <w:r>
        <w:rPr>
          <w:rFonts w:eastAsia="等线" w:ascii="Arial" w:cs="Arial" w:hAnsi="Arial"/>
          <w:b w:val="true"/>
          <w:sz w:val="22"/>
        </w:rPr>
        <w:t>低置信区间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后续采样避免该区间，优先在其远离方向采样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示例（Color Slot）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before</w:t>
              <w:br/>
              <w:t>color:</w:t>
              <w:br/>
              <w:t xml:space="preserve">  saturation: 0.55</w:t>
              <w:br/>
              <w:br/>
              <w:t># after - dislike</w:t>
              <w:br/>
              <w:t>repulsion_zone:</w:t>
              <w:br/>
              <w:t xml:space="preserve">  color.saturation:</w:t>
              <w:br/>
              <w:t xml:space="preserve">    center: 0.55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radius: 0.06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连续 👎 的效果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连续不喜欢会导致多个 internal axis 的局部区域被连续标记为低置信区间，从而显著压缩可采样空间，并推动系统向剩余高置信区域收敛。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5️⃣ 生成轮次与数量上限（Safeguards）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目标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防止：无限探索，用户疲劳，系统无法收敛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约束规则</w:t>
      </w:r>
      <w:bookmarkEnd w:id="8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90pt;mso-width-percent:0;mso-height-percent:0;mso-width-percent:0;mso-height-percent:0" type="#_x0000_t75" o:ole="">
            <v:imagedata r:id="rId7" o:title=""/>
          </v:shape>
          <o:OLEObject DrawAspect="Icon" ObjectID="_1718471219" ProgID="Excel.Sheet.12" ShapeID="_x0000_i1025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达到上限时的系统提示（示例）</w:t>
      </w:r>
      <w:bookmarkEnd w:id="9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“我们已经基本理解你的偏好方向。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你可以继续微调，或上传新的参考图开始新的探索。”</w:t>
            </w:r>
          </w:p>
        </w:tc>
      </w:tr>
    </w:tbl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25642">
    <w:lvl>
      <w:start w:val="1"/>
      <w:numFmt w:val="decimal"/>
      <w:suff w:val="tab"/>
      <w:lvlText w:val="%1."/>
      <w:rPr>
        <w:color w:val="3370ff"/>
      </w:rPr>
    </w:lvl>
  </w:abstractNum>
  <w:abstractNum w:abstractNumId="1125643">
    <w:lvl>
      <w:start w:val="2"/>
      <w:numFmt w:val="decimal"/>
      <w:suff w:val="tab"/>
      <w:lvlText w:val="%1."/>
      <w:rPr>
        <w:color w:val="3370ff"/>
      </w:rPr>
    </w:lvl>
  </w:abstractNum>
  <w:abstractNum w:abstractNumId="1125644">
    <w:lvl>
      <w:numFmt w:val="bullet"/>
      <w:suff w:val="tab"/>
      <w:lvlText w:val="￮"/>
      <w:rPr>
        <w:color w:val="3370ff"/>
      </w:rPr>
    </w:lvl>
  </w:abstractNum>
  <w:abstractNum w:abstractNumId="1125645">
    <w:lvl>
      <w:start w:val="3"/>
      <w:numFmt w:val="decimal"/>
      <w:suff w:val="tab"/>
      <w:lvlText w:val="%1."/>
      <w:rPr>
        <w:color w:val="3370ff"/>
      </w:rPr>
    </w:lvl>
  </w:abstractNum>
  <w:abstractNum w:abstractNumId="1125646">
    <w:lvl>
      <w:start w:val="2"/>
      <w:numFmt w:val="lowerLetter"/>
      <w:suff w:val="tab"/>
      <w:lvlText w:val="%1."/>
      <w:rPr>
        <w:color w:val="3370ff"/>
      </w:rPr>
    </w:lvl>
  </w:abstractNum>
  <w:abstractNum w:abstractNumId="1125647">
    <w:lvl>
      <w:start w:val="3"/>
      <w:numFmt w:val="lowerLetter"/>
      <w:suff w:val="tab"/>
      <w:lvlText w:val="%1."/>
      <w:rPr>
        <w:color w:val="3370ff"/>
      </w:rPr>
    </w:lvl>
  </w:abstractNum>
  <w:abstractNum w:abstractNumId="1125648">
    <w:lvl>
      <w:numFmt w:val="bullet"/>
      <w:suff w:val="tab"/>
      <w:lvlText w:val="•"/>
      <w:rPr>
        <w:color w:val="3370ff"/>
      </w:rPr>
    </w:lvl>
  </w:abstractNum>
  <w:abstractNum w:abstractNumId="1125649">
    <w:lvl>
      <w:numFmt w:val="bullet"/>
      <w:suff w:val="tab"/>
      <w:lvlText w:val="•"/>
      <w:rPr>
        <w:color w:val="3370ff"/>
      </w:rPr>
    </w:lvl>
  </w:abstractNum>
  <w:abstractNum w:abstractNumId="1125650">
    <w:lvl>
      <w:numFmt w:val="bullet"/>
      <w:suff w:val="tab"/>
      <w:lvlText w:val="￮"/>
      <w:rPr>
        <w:color w:val="3370ff"/>
      </w:rPr>
    </w:lvl>
  </w:abstractNum>
  <w:abstractNum w:abstractNumId="1125651">
    <w:lvl>
      <w:numFmt w:val="bullet"/>
      <w:suff w:val="tab"/>
      <w:lvlText w:val="•"/>
      <w:rPr>
        <w:color w:val="3370ff"/>
      </w:rPr>
    </w:lvl>
  </w:abstractNum>
  <w:abstractNum w:abstractNumId="1125652">
    <w:lvl>
      <w:start w:val="1"/>
      <w:numFmt w:val="decimal"/>
      <w:suff w:val="tab"/>
      <w:lvlText w:val="%1."/>
      <w:rPr>
        <w:color w:val="3370ff"/>
      </w:rPr>
    </w:lvl>
  </w:abstractNum>
  <w:abstractNum w:abstractNumId="1125653">
    <w:lvl>
      <w:start w:val="1"/>
      <w:numFmt w:val="lowerLetter"/>
      <w:suff w:val="tab"/>
      <w:lvlText w:val="%1."/>
      <w:rPr>
        <w:color w:val="3370ff"/>
      </w:rPr>
    </w:lvl>
  </w:abstractNum>
  <w:abstractNum w:abstractNumId="1125654">
    <w:lvl>
      <w:start w:val="2"/>
      <w:numFmt w:val="lowerLetter"/>
      <w:suff w:val="tab"/>
      <w:lvlText w:val="%1."/>
      <w:rPr>
        <w:color w:val="3370ff"/>
      </w:rPr>
    </w:lvl>
  </w:abstractNum>
  <w:abstractNum w:abstractNumId="1125655">
    <w:lvl>
      <w:start w:val="2"/>
      <w:numFmt w:val="decimal"/>
      <w:suff w:val="tab"/>
      <w:lvlText w:val="%1."/>
      <w:rPr>
        <w:color w:val="3370ff"/>
      </w:rPr>
    </w:lvl>
  </w:abstractNum>
  <w:abstractNum w:abstractNumId="1125656">
    <w:lvl>
      <w:start w:val="1"/>
      <w:numFmt w:val="lowerLetter"/>
      <w:suff w:val="tab"/>
      <w:lvlText w:val="%1."/>
      <w:rPr>
        <w:color w:val="3370ff"/>
      </w:rPr>
    </w:lvl>
  </w:abstractNum>
  <w:abstractNum w:abstractNumId="1125657">
    <w:lvl>
      <w:start w:val="2"/>
      <w:numFmt w:val="lowerLetter"/>
      <w:suff w:val="tab"/>
      <w:lvlText w:val="%1."/>
      <w:rPr>
        <w:color w:val="3370ff"/>
      </w:rPr>
    </w:lvl>
  </w:abstractNum>
  <w:num w:numId="1">
    <w:abstractNumId w:val="1125642"/>
  </w:num>
  <w:num w:numId="2">
    <w:abstractNumId w:val="1125643"/>
  </w:num>
  <w:num w:numId="3">
    <w:abstractNumId w:val="1125644"/>
  </w:num>
  <w:num w:numId="4">
    <w:abstractNumId w:val="1125645"/>
  </w:num>
  <w:num w:numId="5">
    <w:abstractNumId w:val="1125646"/>
  </w:num>
  <w:num w:numId="6">
    <w:abstractNumId w:val="1125647"/>
  </w:num>
  <w:num w:numId="7">
    <w:abstractNumId w:val="1125648"/>
  </w:num>
  <w:num w:numId="8">
    <w:abstractNumId w:val="1125649"/>
  </w:num>
  <w:num w:numId="9">
    <w:abstractNumId w:val="1125650"/>
  </w:num>
  <w:num w:numId="10">
    <w:abstractNumId w:val="1125651"/>
  </w:num>
  <w:num w:numId="11">
    <w:abstractNumId w:val="1125652"/>
  </w:num>
  <w:num w:numId="12">
    <w:abstractNumId w:val="1125653"/>
  </w:num>
  <w:num w:numId="13">
    <w:abstractNumId w:val="1125654"/>
  </w:num>
  <w:num w:numId="14">
    <w:abstractNumId w:val="1125655"/>
  </w:num>
  <w:num w:numId="15">
    <w:abstractNumId w:val="1125656"/>
  </w:num>
  <w:num w:numId="16">
    <w:abstractNumId w:val="112565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embeddings/Microsoft_Excel_Worksheet1.xlsx" Type="http://schemas.openxmlformats.org/officeDocument/2006/relationships/package"/><Relationship Id="rId7" Target="media/image2.png" Type="http://schemas.openxmlformats.org/officeDocument/2006/relationships/im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2026-03-15T16:52:39Z</dcterms:created>
  <dc:creator>Apache POI</dc:creator>
</cp:coreProperties>
</file>