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60"/>
        <w:jc w:val="center"/>
      </w:pPr>
      <w:r>
        <w:drawing>
          <wp:inline distT="0" distB="0" distL="0" distR="0">
            <wp:extent cx="14287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781050"/>
                    </a:xfrm>
                    <a:prstGeom prst="rect">
                      <a:avLst/>
                    </a:prstGeom>
                  </pic:spPr>
                </pic:pic>
              </a:graphicData>
            </a:graphic>
          </wp:inline>
        </w:drawing>
      </w:r>
    </w:p>
    <w:p>
      <w:pPr>
        <w:spacing w:after="80"/>
        <w:jc w:val="center"/>
      </w:pPr>
      <w:r>
        <w:rPr>
          <w:rFonts w:ascii="Arial" w:cs="Arial" w:eastAsia="Arial" w:hAnsi="Arial"/>
          <w:b/>
          <w:bCs/>
          <w:color w:val="1A5276"/>
          <w:sz w:val="72"/>
          <w:szCs w:val="72"/>
        </w:rPr>
        <w:t xml:space="preserve">NATAL TOKEN</w:t>
      </w:r>
    </w:p>
    <w:p>
      <w:pPr>
        <w:spacing w:after="200"/>
        <w:jc w:val="center"/>
      </w:pPr>
      <w:r>
        <w:rPr>
          <w:rFonts w:ascii="Arial" w:cs="Arial" w:eastAsia="Arial" w:hAnsi="Arial"/>
          <w:b/>
          <w:bCs/>
          <w:color w:val="2E86C1"/>
          <w:sz w:val="48"/>
          <w:szCs w:val="48"/>
        </w:rPr>
        <w:t xml:space="preserve">(NATAL)</w:t>
      </w:r>
    </w:p>
    <w:p>
      <w:pPr>
        <w:pBdr>
          <w:bottom w:val="single" w:color="2E86C1" w:sz="6" w:space="1"/>
        </w:pBdr>
        <w:spacing w:after="100" w:before="100"/>
        <w:jc w:val="center"/>
      </w:pPr>
      <w:r>
        <w:rPr>
          <w:rFonts w:ascii="Arial" w:cs="Arial" w:eastAsia="Arial" w:hAnsi="Arial"/>
          <w:color w:val="2C3E50"/>
          <w:sz w:val="36"/>
          <w:szCs w:val="36"/>
        </w:rPr>
        <w:t xml:space="preserve">Official Whitepaper</w:t>
      </w:r>
    </w:p>
    <w:p>
      <w:pPr>
        <w:spacing w:after="120"/>
      </w:pPr>
      <w:r>
        <w:t xml:space="preserve"/>
      </w:r>
    </w:p>
    <w:p>
      <w:pPr>
        <w:spacing w:after="80"/>
        <w:jc w:val="center"/>
      </w:pPr>
      <w:r>
        <w:rPr>
          <w:rFonts w:ascii="Arial" w:cs="Arial" w:eastAsia="Arial" w:hAnsi="Arial"/>
          <w:i/>
          <w:iCs/>
          <w:color w:val="1B2631"/>
          <w:sz w:val="32"/>
          <w:szCs w:val="32"/>
        </w:rPr>
        <w:t xml:space="preserve">Decentralized Maternal Healthcare Financing</w:t>
      </w:r>
    </w:p>
    <w:p>
      <w:pPr>
        <w:spacing w:after="80"/>
        <w:jc w:val="center"/>
      </w:pPr>
      <w:r>
        <w:rPr>
          <w:rFonts w:ascii="Arial" w:cs="Arial" w:eastAsia="Arial" w:hAnsi="Arial"/>
          <w:color w:val="2C3E50"/>
          <w:sz w:val="24"/>
          <w:szCs w:val="24"/>
        </w:rPr>
        <w:t xml:space="preserve">Powered by Binance Smart Chain</w:t>
      </w:r>
    </w:p>
    <w:p>
      <w:pPr>
        <w:spacing w:after="120"/>
      </w:pPr>
      <w:r>
        <w:t xml:space="preserve"/>
      </w:r>
    </w:p>
    <w:p>
      <w:pPr>
        <w:spacing w:after="80"/>
        <w:jc w:val="center"/>
      </w:pPr>
      <w:r>
        <w:rPr>
          <w:rFonts w:ascii="Arial" w:cs="Arial" w:eastAsia="Arial" w:hAnsi="Arial"/>
          <w:color w:val="888888"/>
          <w:sz w:val="22"/>
          <w:szCs w:val="22"/>
        </w:rPr>
        <w:t xml:space="preserve">Version 1.0</w:t>
      </w:r>
    </w:p>
    <w:p>
      <w:pPr>
        <w:jc w:val="center"/>
      </w:pPr>
      <w:r>
        <w:rPr>
          <w:rFonts w:ascii="Arial" w:cs="Arial" w:eastAsia="Arial" w:hAnsi="Arial"/>
          <w:b/>
          <w:bCs/>
          <w:color w:val="1A5276"/>
          <w:sz w:val="26"/>
          <w:szCs w:val="26"/>
        </w:rPr>
        <w:t xml:space="preserve">Total Supply: 55,000,000 NATAL</w:t>
      </w:r>
    </w:p>
    <w:p>
      <w:pPr>
        <w:spacing w:after="120"/>
      </w:pPr>
      <w:r>
        <w:t xml:space="preserve"/>
      </w:r>
    </w:p>
    <w:p>
      <w:pPr>
        <w:spacing w:after="120"/>
      </w:pPr>
      <w:r>
        <w:t xml:space="preserve"/>
      </w:r>
    </w:p>
    <w:p>
      <w:pPr>
        <w:spacing w:after="120"/>
      </w:pPr>
      <w:r>
        <w:t xml:space="preserve"/>
      </w:r>
    </w:p>
    <w:p>
      <w:pPr>
        <w:spacing w:after="120"/>
      </w:pPr>
      <w:r>
        <w:t xml:space="preserve"/>
      </w:r>
    </w:p>
    <w:p>
      <w:r>
        <w:br w:type="page"/>
      </w:r>
    </w:p>
    <w:p>
      <w:pPr>
        <w:pStyle w:val="Heading1"/>
        <w:shd w:fill="1A5276" w:val="clear"/>
        <w:spacing w:after="180" w:before="360"/>
        <w:ind w:left="240" w:right="240"/>
      </w:pPr>
      <w:r>
        <w:rPr>
          <w:rFonts w:ascii="Arial" w:cs="Arial" w:eastAsia="Arial" w:hAnsi="Arial"/>
          <w:b/>
          <w:bCs/>
          <w:color w:val="FFFFFF"/>
          <w:sz w:val="36"/>
          <w:szCs w:val="36"/>
        </w:rPr>
        <w:t xml:space="preserve">Executive Summary</w:t>
      </w:r>
    </w:p>
    <w:p>
      <w:pPr>
        <w:spacing w:after="120"/>
      </w:pPr>
      <w:r>
        <w:t xml:space="preserve"/>
      </w:r>
    </w:p>
    <w:p>
      <w:pPr>
        <w:spacing w:after="120" w:line="320"/>
        <w:jc w:val="both"/>
      </w:pPr>
      <w:r>
        <w:rPr>
          <w:rFonts w:ascii="Arial" w:cs="Arial" w:eastAsia="Arial" w:hAnsi="Arial"/>
          <w:sz w:val="22"/>
          <w:szCs w:val="22"/>
        </w:rPr>
        <w:t xml:space="preserve">Natal Token (NATAL) is a blockchain-powered digital asset engineered to transform maternal and prenatal healthcare financing globally, with a concentrated focus on underserved and low-resource regions. Deployed as a BEP-20 token on the Binance Smart Chain (BSC), Natal Token bridges the critical gap between healthcare funding inefficiencies and real-world maternal health needs through transparent, decentralized, and incentive-driven mechanisms.</w:t>
      </w:r>
    </w:p>
    <w:p>
      <w:pPr>
        <w:spacing w:after="120"/>
      </w:pPr>
      <w:r>
        <w:t xml:space="preserve"/>
      </w:r>
    </w:p>
    <w:p>
      <w:pPr>
        <w:spacing w:after="120" w:line="320"/>
        <w:jc w:val="both"/>
      </w:pPr>
      <w:r>
        <w:rPr>
          <w:rFonts w:ascii="Arial" w:cs="Arial" w:eastAsia="Arial" w:hAnsi="Arial"/>
          <w:sz w:val="22"/>
          <w:szCs w:val="22"/>
        </w:rPr>
        <w:t xml:space="preserve">With a fixed total supply of 55,000,000 NATAL tokens, the project enforces a scarcity-backed impact model where every token represents meaningful participation in a globally significant maternal health infrastructure. This controlled supply ensures long-term value alignment between token economics and healthcare outcomes.</w:t>
      </w:r>
    </w:p>
    <w:p>
      <w:pPr>
        <w:spacing w:after="120"/>
      </w:pPr>
      <w:r>
        <w:t xml:space="preserve"/>
      </w:r>
    </w:p>
    <w:p>
      <w:pPr>
        <w:spacing w:after="120" w:line="320"/>
        <w:jc w:val="both"/>
      </w:pPr>
      <w:r>
        <w:rPr>
          <w:rFonts w:ascii="Arial" w:cs="Arial" w:eastAsia="Arial" w:hAnsi="Arial"/>
          <w:sz w:val="22"/>
          <w:szCs w:val="22"/>
        </w:rPr>
        <w:t xml:space="preserve">Natal Token is not merely a digital currency — it is an end-to-end infrastructure for health financing, accountability, and innovation in maternal care delivery.</w:t>
      </w:r>
    </w:p>
    <w:p>
      <w:pPr>
        <w:spacing w:after="120"/>
      </w:pPr>
      <w:r>
        <w:t xml:space="preserve"/>
      </w:r>
    </w:p>
    <w:p>
      <w:pPr>
        <w:pStyle w:val="Heading1"/>
        <w:shd w:fill="1A5276" w:val="clear"/>
        <w:spacing w:after="180" w:before="360"/>
        <w:ind w:left="240" w:right="240"/>
      </w:pPr>
      <w:r>
        <w:rPr>
          <w:rFonts w:ascii="Arial" w:cs="Arial" w:eastAsia="Arial" w:hAnsi="Arial"/>
          <w:b/>
          <w:bCs/>
          <w:color w:val="FFFFFF"/>
          <w:sz w:val="36"/>
          <w:szCs w:val="36"/>
        </w:rPr>
        <w:t xml:space="preserve">1. Project Overview</w:t>
      </w:r>
    </w:p>
    <w:p>
      <w:pPr>
        <w:spacing w:after="120"/>
      </w:pPr>
      <w:r>
        <w:t xml:space="preserve"/>
      </w:r>
    </w:p>
    <w:p>
      <w:pPr>
        <w:spacing w:after="120" w:line="320"/>
        <w:jc w:val="both"/>
      </w:pPr>
      <w:r>
        <w:rPr>
          <w:rFonts w:ascii="Arial" w:cs="Arial" w:eastAsia="Arial" w:hAnsi="Arial"/>
          <w:sz w:val="22"/>
          <w:szCs w:val="22"/>
        </w:rPr>
        <w:t xml:space="preserve">The core vision of Natal Token is to reduce maternal mortality, improve prenatal care access, and support newborn health outcomes by leveraging decentralized finance (DeFi), tokenized incentives, and community-driven governance. The project connects healthcare providers, pregnant women, researchers, donors, and health institutions into a unified blockchain ecosystem where value flows directly into maternal health impact.</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Mission</w:t>
      </w:r>
    </w:p>
    <w:p>
      <w:pPr>
        <w:spacing w:after="120" w:line="320"/>
        <w:jc w:val="both"/>
      </w:pPr>
      <w:r>
        <w:rPr>
          <w:rFonts w:ascii="Arial" w:cs="Arial" w:eastAsia="Arial" w:hAnsi="Arial"/>
          <w:sz w:val="22"/>
          <w:szCs w:val="22"/>
        </w:rPr>
        <w:t xml:space="preserve">To create a decentralized, transparent, and sustainable healthcare funding ecosystem dedicated to improving maternal and prenatal health outcomes worldwide.</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Key Objectives</w:t>
      </w:r>
    </w:p>
    <w:p>
      <w:pPr>
        <w:pStyle w:val="ListParagraph"/>
        <w:numPr>
          <w:ilvl w:val="0"/>
          <w:numId w:val="2"/>
        </w:numPr>
        <w:spacing w:after="80"/>
      </w:pPr>
      <w:r>
        <w:rPr>
          <w:rFonts w:ascii="Arial" w:cs="Arial" w:eastAsia="Arial" w:hAnsi="Arial"/>
          <w:sz w:val="22"/>
          <w:szCs w:val="22"/>
        </w:rPr>
        <w:t xml:space="preserve">Provide decentralized funding for maternal healthcare services</w:t>
      </w:r>
    </w:p>
    <w:p>
      <w:pPr>
        <w:pStyle w:val="ListParagraph"/>
        <w:numPr>
          <w:ilvl w:val="0"/>
          <w:numId w:val="2"/>
        </w:numPr>
        <w:spacing w:after="80"/>
      </w:pPr>
      <w:r>
        <w:rPr>
          <w:rFonts w:ascii="Arial" w:cs="Arial" w:eastAsia="Arial" w:hAnsi="Arial"/>
          <w:sz w:val="22"/>
          <w:szCs w:val="22"/>
        </w:rPr>
        <w:t xml:space="preserve">Support prenatal education, research, and innovation</w:t>
      </w:r>
    </w:p>
    <w:p>
      <w:pPr>
        <w:pStyle w:val="ListParagraph"/>
        <w:numPr>
          <w:ilvl w:val="0"/>
          <w:numId w:val="2"/>
        </w:numPr>
        <w:spacing w:after="80"/>
      </w:pPr>
      <w:r>
        <w:rPr>
          <w:rFonts w:ascii="Arial" w:cs="Arial" w:eastAsia="Arial" w:hAnsi="Arial"/>
          <w:sz w:val="22"/>
          <w:szCs w:val="22"/>
        </w:rPr>
        <w:t xml:space="preserve">Incentivize healthcare workers and maternal health specialists</w:t>
      </w:r>
    </w:p>
    <w:p>
      <w:pPr>
        <w:pStyle w:val="ListParagraph"/>
        <w:numPr>
          <w:ilvl w:val="0"/>
          <w:numId w:val="2"/>
        </w:numPr>
        <w:spacing w:after="80"/>
      </w:pPr>
      <w:r>
        <w:rPr>
          <w:rFonts w:ascii="Arial" w:cs="Arial" w:eastAsia="Arial" w:hAnsi="Arial"/>
          <w:sz w:val="22"/>
          <w:szCs w:val="22"/>
        </w:rPr>
        <w:t xml:space="preserve">Improve access to affordable maternal care in underserved regions</w:t>
      </w:r>
    </w:p>
    <w:p>
      <w:pPr>
        <w:pStyle w:val="ListParagraph"/>
        <w:numPr>
          <w:ilvl w:val="0"/>
          <w:numId w:val="2"/>
        </w:numPr>
        <w:spacing w:after="80"/>
      </w:pPr>
      <w:r>
        <w:rPr>
          <w:rFonts w:ascii="Arial" w:cs="Arial" w:eastAsia="Arial" w:hAnsi="Arial"/>
          <w:sz w:val="22"/>
          <w:szCs w:val="22"/>
        </w:rPr>
        <w:t xml:space="preserve">Enable transparent donation tracking and healthcare spending accountability</w:t>
      </w:r>
    </w:p>
    <w:p>
      <w:pPr>
        <w:pStyle w:val="ListParagraph"/>
        <w:numPr>
          <w:ilvl w:val="0"/>
          <w:numId w:val="2"/>
        </w:numPr>
        <w:spacing w:after="80"/>
      </w:pPr>
      <w:r>
        <w:rPr>
          <w:rFonts w:ascii="Arial" w:cs="Arial" w:eastAsia="Arial" w:hAnsi="Arial"/>
          <w:sz w:val="22"/>
          <w:szCs w:val="22"/>
        </w:rPr>
        <w:t xml:space="preserve">Build a global community focused on maternal health improvement</w:t>
      </w:r>
    </w:p>
    <w:p>
      <w:pPr>
        <w:pStyle w:val="ListParagraph"/>
        <w:numPr>
          <w:ilvl w:val="0"/>
          <w:numId w:val="2"/>
        </w:numPr>
        <w:spacing w:after="80"/>
      </w:pPr>
      <w:r>
        <w:rPr>
          <w:rFonts w:ascii="Arial" w:cs="Arial" w:eastAsia="Arial" w:hAnsi="Arial"/>
          <w:sz w:val="22"/>
          <w:szCs w:val="22"/>
        </w:rPr>
        <w:t xml:space="preserve">Reduce preventable maternal and infant mortality through innovation</w:t>
      </w:r>
    </w:p>
    <w:p>
      <w:pPr>
        <w:spacing w:after="120"/>
      </w:pPr>
      <w:r>
        <w:t xml:space="preserve"/>
      </w:r>
    </w:p>
    <w:p>
      <w:pPr>
        <w:pStyle w:val="Heading1"/>
        <w:shd w:fill="1A5276" w:val="clear"/>
        <w:spacing w:after="180" w:before="360"/>
        <w:ind w:left="240" w:right="240"/>
      </w:pPr>
      <w:r>
        <w:rPr>
          <w:rFonts w:ascii="Arial" w:cs="Arial" w:eastAsia="Arial" w:hAnsi="Arial"/>
          <w:b/>
          <w:bCs/>
          <w:color w:val="FFFFFF"/>
          <w:sz w:val="36"/>
          <w:szCs w:val="36"/>
        </w:rPr>
        <w:t xml:space="preserve">2. The Problem Statement</w:t>
      </w:r>
    </w:p>
    <w:p>
      <w:pPr>
        <w:spacing w:after="120"/>
      </w:pPr>
      <w:r>
        <w:t xml:space="preserve"/>
      </w:r>
    </w:p>
    <w:p>
      <w:pPr>
        <w:spacing w:after="120" w:line="320"/>
        <w:jc w:val="both"/>
      </w:pPr>
      <w:r>
        <w:rPr>
          <w:rFonts w:ascii="Arial" w:cs="Arial" w:eastAsia="Arial" w:hAnsi="Arial"/>
          <w:sz w:val="22"/>
          <w:szCs w:val="22"/>
        </w:rPr>
        <w:t xml:space="preserve">Maternal healthcare remains one of the most underfunded and inefficiently managed sectors in global healthcare systems. Millions of women, particularly in developing regions, lack access to quality prenatal care, skilled birth attendants, emergency obstetric services, affordable maternal health insurance, and reliable health education and monitoring.</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Critical Challenges</w:t>
      </w:r>
    </w:p>
    <w:p>
      <w:pPr>
        <w:pStyle w:val="ListParagraph"/>
        <w:numPr>
          <w:ilvl w:val="0"/>
          <w:numId w:val="2"/>
        </w:numPr>
        <w:spacing w:after="80"/>
      </w:pPr>
      <w:r>
        <w:rPr>
          <w:rFonts w:ascii="Arial" w:cs="Arial" w:eastAsia="Arial" w:hAnsi="Arial"/>
          <w:sz w:val="22"/>
          <w:szCs w:val="22"/>
        </w:rPr>
        <w:t xml:space="preserve">Fragmented and siloed funding systems</w:t>
      </w:r>
    </w:p>
    <w:p>
      <w:pPr>
        <w:pStyle w:val="ListParagraph"/>
        <w:numPr>
          <w:ilvl w:val="0"/>
          <w:numId w:val="2"/>
        </w:numPr>
        <w:spacing w:after="80"/>
      </w:pPr>
      <w:r>
        <w:rPr>
          <w:rFonts w:ascii="Arial" w:cs="Arial" w:eastAsia="Arial" w:hAnsi="Arial"/>
          <w:sz w:val="22"/>
          <w:szCs w:val="22"/>
        </w:rPr>
        <w:t xml:space="preserve">Corruption and lack of transparency in healthcare fund allocation</w:t>
      </w:r>
    </w:p>
    <w:p>
      <w:pPr>
        <w:pStyle w:val="ListParagraph"/>
        <w:numPr>
          <w:ilvl w:val="0"/>
          <w:numId w:val="2"/>
        </w:numPr>
        <w:spacing w:after="80"/>
      </w:pPr>
      <w:r>
        <w:rPr>
          <w:rFonts w:ascii="Arial" w:cs="Arial" w:eastAsia="Arial" w:hAnsi="Arial"/>
          <w:sz w:val="22"/>
          <w:szCs w:val="22"/>
        </w:rPr>
        <w:t xml:space="preserve">High cost of maternal services, especially in rural areas</w:t>
      </w:r>
    </w:p>
    <w:p>
      <w:pPr>
        <w:pStyle w:val="ListParagraph"/>
        <w:numPr>
          <w:ilvl w:val="0"/>
          <w:numId w:val="2"/>
        </w:numPr>
        <w:spacing w:after="80"/>
      </w:pPr>
      <w:r>
        <w:rPr>
          <w:rFonts w:ascii="Arial" w:cs="Arial" w:eastAsia="Arial" w:hAnsi="Arial"/>
          <w:sz w:val="22"/>
          <w:szCs w:val="22"/>
        </w:rPr>
        <w:t xml:space="preserve">Inefficient donor-to-patient fund flow</w:t>
      </w:r>
    </w:p>
    <w:p>
      <w:pPr>
        <w:pStyle w:val="ListParagraph"/>
        <w:numPr>
          <w:ilvl w:val="0"/>
          <w:numId w:val="2"/>
        </w:numPr>
        <w:spacing w:after="80"/>
      </w:pPr>
      <w:r>
        <w:rPr>
          <w:rFonts w:ascii="Arial" w:cs="Arial" w:eastAsia="Arial" w:hAnsi="Arial"/>
          <w:sz w:val="22"/>
          <w:szCs w:val="22"/>
        </w:rPr>
        <w:t xml:space="preserve">Poor accountability in healthcare spending</w:t>
      </w:r>
    </w:p>
    <w:p>
      <w:pPr>
        <w:pStyle w:val="ListParagraph"/>
        <w:numPr>
          <w:ilvl w:val="0"/>
          <w:numId w:val="2"/>
        </w:numPr>
        <w:spacing w:after="80"/>
      </w:pPr>
      <w:r>
        <w:rPr>
          <w:rFonts w:ascii="Arial" w:cs="Arial" w:eastAsia="Arial" w:hAnsi="Arial"/>
          <w:sz w:val="22"/>
          <w:szCs w:val="22"/>
        </w:rPr>
        <w:t xml:space="preserve">Limited access to real-time maternal health data</w:t>
      </w:r>
    </w:p>
    <w:p>
      <w:pPr>
        <w:spacing w:after="120"/>
      </w:pPr>
      <w:r>
        <w:t xml:space="preserve"/>
      </w:r>
    </w:p>
    <w:p>
      <w:pPr>
        <w:spacing w:after="120" w:line="320"/>
        <w:jc w:val="both"/>
      </w:pPr>
      <w:r>
        <w:rPr>
          <w:rFonts w:ascii="Arial" w:cs="Arial" w:eastAsia="Arial" w:hAnsi="Arial"/>
          <w:sz w:val="22"/>
          <w:szCs w:val="22"/>
        </w:rPr>
        <w:t xml:space="preserve">Natal Token addresses these challenges by introducing a decentralized funding and accountability system built on blockchain infrastructure — enabling end-to-end traceability of every dollar contributed to maternal healthcare.</w:t>
      </w:r>
    </w:p>
    <w:p>
      <w:pPr>
        <w:spacing w:after="120"/>
      </w:pPr>
      <w:r>
        <w:t xml:space="preserve"/>
      </w:r>
    </w:p>
    <w:p>
      <w:pPr>
        <w:pStyle w:val="Heading1"/>
        <w:shd w:fill="1A5276" w:val="clear"/>
        <w:spacing w:after="180" w:before="360"/>
        <w:ind w:left="240" w:right="240"/>
      </w:pPr>
      <w:r>
        <w:rPr>
          <w:rFonts w:ascii="Arial" w:cs="Arial" w:eastAsia="Arial" w:hAnsi="Arial"/>
          <w:b/>
          <w:bCs/>
          <w:color w:val="FFFFFF"/>
          <w:sz w:val="36"/>
          <w:szCs w:val="36"/>
        </w:rPr>
        <w:t xml:space="preserve">3. Blockchain Infrastructure</w:t>
      </w:r>
    </w:p>
    <w:p>
      <w:pPr>
        <w:spacing w:after="120"/>
      </w:pPr>
      <w:r>
        <w:t xml:space="preserve"/>
      </w:r>
    </w:p>
    <w:p>
      <w:pPr>
        <w:spacing w:after="120" w:line="320"/>
        <w:jc w:val="both"/>
      </w:pPr>
      <w:r>
        <w:rPr>
          <w:rFonts w:ascii="Arial" w:cs="Arial" w:eastAsia="Arial" w:hAnsi="Arial"/>
          <w:sz w:val="22"/>
          <w:szCs w:val="22"/>
        </w:rPr>
        <w:t xml:space="preserve">Natal Token is deployed on the Binance Smart Chain (BSC), a high-performance, low-cost blockchain platform that enables smart contract automation, transparent recordkeeping, and scalable healthcare funding operations.</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Core Blockchain Capabilities</w:t>
      </w:r>
    </w:p>
    <w:p>
      <w:pPr>
        <w:pStyle w:val="ListParagraph"/>
        <w:numPr>
          <w:ilvl w:val="0"/>
          <w:numId w:val="2"/>
        </w:numPr>
        <w:spacing w:after="80"/>
      </w:pPr>
      <w:r>
        <w:rPr>
          <w:rFonts w:ascii="Arial" w:cs="Arial" w:eastAsia="Arial" w:hAnsi="Arial"/>
          <w:sz w:val="22"/>
          <w:szCs w:val="22"/>
        </w:rPr>
        <w:t xml:space="preserve">Fast and low-cost transactions with minimal network fees</w:t>
      </w:r>
    </w:p>
    <w:p>
      <w:pPr>
        <w:pStyle w:val="ListParagraph"/>
        <w:numPr>
          <w:ilvl w:val="0"/>
          <w:numId w:val="2"/>
        </w:numPr>
        <w:spacing w:after="80"/>
      </w:pPr>
      <w:r>
        <w:rPr>
          <w:rFonts w:ascii="Arial" w:cs="Arial" w:eastAsia="Arial" w:hAnsi="Arial"/>
          <w:sz w:val="22"/>
          <w:szCs w:val="22"/>
        </w:rPr>
        <w:t xml:space="preserve">Smart contract automation for fund disbursement and incentive distribution</w:t>
      </w:r>
    </w:p>
    <w:p>
      <w:pPr>
        <w:pStyle w:val="ListParagraph"/>
        <w:numPr>
          <w:ilvl w:val="0"/>
          <w:numId w:val="2"/>
        </w:numPr>
        <w:spacing w:after="80"/>
      </w:pPr>
      <w:r>
        <w:rPr>
          <w:rFonts w:ascii="Arial" w:cs="Arial" w:eastAsia="Arial" w:hAnsi="Arial"/>
          <w:sz w:val="22"/>
          <w:szCs w:val="22"/>
        </w:rPr>
        <w:t xml:space="preserve">Transparent and immutable financial records</w:t>
      </w:r>
    </w:p>
    <w:p>
      <w:pPr>
        <w:pStyle w:val="ListParagraph"/>
        <w:numPr>
          <w:ilvl w:val="0"/>
          <w:numId w:val="2"/>
        </w:numPr>
        <w:spacing w:after="80"/>
      </w:pPr>
      <w:r>
        <w:rPr>
          <w:rFonts w:ascii="Arial" w:cs="Arial" w:eastAsia="Arial" w:hAnsi="Arial"/>
          <w:sz w:val="22"/>
          <w:szCs w:val="22"/>
        </w:rPr>
        <w:t xml:space="preserve">Scalable infrastructure for global healthcare funding operations</w:t>
      </w:r>
    </w:p>
    <w:p>
      <w:pPr>
        <w:pStyle w:val="ListParagraph"/>
        <w:numPr>
          <w:ilvl w:val="0"/>
          <w:numId w:val="2"/>
        </w:numPr>
        <w:spacing w:after="80"/>
      </w:pPr>
      <w:r>
        <w:rPr>
          <w:rFonts w:ascii="Arial" w:cs="Arial" w:eastAsia="Arial" w:hAnsi="Arial"/>
          <w:sz w:val="22"/>
          <w:szCs w:val="22"/>
        </w:rPr>
        <w:t xml:space="preserve">Fraud prevention through tamper-proof transaction ledgers</w:t>
      </w:r>
    </w:p>
    <w:p>
      <w:pPr>
        <w:spacing w:after="120"/>
      </w:pPr>
      <w:r>
        <w:t xml:space="preserve"/>
      </w:r>
    </w:p>
    <w:p>
      <w:pPr>
        <w:spacing w:after="120" w:line="320"/>
        <w:jc w:val="both"/>
      </w:pPr>
      <w:r>
        <w:rPr>
          <w:rFonts w:ascii="Arial" w:cs="Arial" w:eastAsia="Arial" w:hAnsi="Arial"/>
          <w:sz w:val="22"/>
          <w:szCs w:val="22"/>
        </w:rPr>
        <w:t xml:space="preserve">This infrastructure ensures that all financial flows related to maternal healthcare are traceable, verifiable, and tamper-proof — establishing a new standard of accountability in health financing.</w:t>
      </w:r>
    </w:p>
    <w:p>
      <w:pPr>
        <w:spacing w:after="120"/>
      </w:pPr>
      <w:r>
        <w:t xml:space="preserve"/>
      </w:r>
    </w:p>
    <w:p>
      <w:pPr>
        <w:pStyle w:val="Heading1"/>
        <w:shd w:fill="1A5276" w:val="clear"/>
        <w:spacing w:after="180" w:before="360"/>
        <w:ind w:left="240" w:right="240"/>
      </w:pPr>
      <w:r>
        <w:rPr>
          <w:rFonts w:ascii="Arial" w:cs="Arial" w:eastAsia="Arial" w:hAnsi="Arial"/>
          <w:b/>
          <w:bCs/>
          <w:color w:val="FFFFFF"/>
          <w:sz w:val="36"/>
          <w:szCs w:val="36"/>
        </w:rPr>
        <w:t xml:space="preserve">4. The Natal Ecosystem</w:t>
      </w:r>
    </w:p>
    <w:p>
      <w:pPr>
        <w:spacing w:after="120"/>
      </w:pPr>
      <w:r>
        <w:t xml:space="preserve"/>
      </w:r>
    </w:p>
    <w:p>
      <w:pPr>
        <w:spacing w:after="120" w:line="320"/>
        <w:jc w:val="both"/>
      </w:pPr>
      <w:r>
        <w:rPr>
          <w:rFonts w:ascii="Arial" w:cs="Arial" w:eastAsia="Arial" w:hAnsi="Arial"/>
          <w:sz w:val="22"/>
          <w:szCs w:val="22"/>
        </w:rPr>
        <w:t xml:space="preserve">The Natal ecosystem is built around two complementary digital assets that serve distinct but interconnected roles within the platform.</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4.1 Natal Token (NATAL) — BEP-20 Utility Token</w:t>
      </w:r>
    </w:p>
    <w:p>
      <w:pPr>
        <w:spacing w:after="120" w:line="320"/>
        <w:jc w:val="both"/>
      </w:pPr>
      <w:r>
        <w:rPr>
          <w:rFonts w:ascii="Arial" w:cs="Arial" w:eastAsia="Arial" w:hAnsi="Arial"/>
          <w:sz w:val="22"/>
          <w:szCs w:val="22"/>
        </w:rPr>
        <w:t xml:space="preserve">Natal Token is the primary utility and transactional token of the ecosystem. It functions as the economic backbone enabling seamless value transfer between all stakeholders.</w:t>
      </w:r>
    </w:p>
    <w:p>
      <w:pPr>
        <w:spacing w:after="120"/>
      </w:pPr>
      <w:r>
        <w:t xml:space="preserve"/>
      </w:r>
    </w:p>
    <w:p>
      <w:pPr>
        <w:pStyle w:val="Heading3"/>
        <w:spacing w:after="100" w:before="200"/>
      </w:pPr>
      <w:r>
        <w:rPr>
          <w:rFonts w:ascii="Arial" w:cs="Arial" w:eastAsia="Arial" w:hAnsi="Arial"/>
          <w:b/>
          <w:bCs/>
          <w:color w:val="2C3E50"/>
          <w:sz w:val="24"/>
          <w:szCs w:val="24"/>
        </w:rPr>
        <w:t xml:space="preserve">Primary Use Cases</w:t>
      </w:r>
    </w:p>
    <w:p>
      <w:pPr>
        <w:pStyle w:val="ListParagraph"/>
        <w:numPr>
          <w:ilvl w:val="0"/>
          <w:numId w:val="2"/>
        </w:numPr>
        <w:spacing w:after="80"/>
      </w:pPr>
      <w:r>
        <w:rPr>
          <w:rFonts w:ascii="Arial" w:cs="Arial" w:eastAsia="Arial" w:hAnsi="Arial"/>
          <w:sz w:val="22"/>
          <w:szCs w:val="22"/>
        </w:rPr>
        <w:t xml:space="preserve">Funding maternal healthcare services and programs</w:t>
      </w:r>
    </w:p>
    <w:p>
      <w:pPr>
        <w:pStyle w:val="ListParagraph"/>
        <w:numPr>
          <w:ilvl w:val="0"/>
          <w:numId w:val="2"/>
        </w:numPr>
        <w:spacing w:after="80"/>
      </w:pPr>
      <w:r>
        <w:rPr>
          <w:rFonts w:ascii="Arial" w:cs="Arial" w:eastAsia="Arial" w:hAnsi="Arial"/>
          <w:sz w:val="22"/>
          <w:szCs w:val="22"/>
        </w:rPr>
        <w:t xml:space="preserve">Rewarding healthcare providers for service delivery</w:t>
      </w:r>
    </w:p>
    <w:p>
      <w:pPr>
        <w:pStyle w:val="ListParagraph"/>
        <w:numPr>
          <w:ilvl w:val="0"/>
          <w:numId w:val="2"/>
        </w:numPr>
        <w:spacing w:after="80"/>
      </w:pPr>
      <w:r>
        <w:rPr>
          <w:rFonts w:ascii="Arial" w:cs="Arial" w:eastAsia="Arial" w:hAnsi="Arial"/>
          <w:sz w:val="22"/>
          <w:szCs w:val="22"/>
        </w:rPr>
        <w:t xml:space="preserve">Paying for prenatal services and health education</w:t>
      </w:r>
    </w:p>
    <w:p>
      <w:pPr>
        <w:pStyle w:val="ListParagraph"/>
        <w:numPr>
          <w:ilvl w:val="0"/>
          <w:numId w:val="2"/>
        </w:numPr>
        <w:spacing w:after="80"/>
      </w:pPr>
      <w:r>
        <w:rPr>
          <w:rFonts w:ascii="Arial" w:cs="Arial" w:eastAsia="Arial" w:hAnsi="Arial"/>
          <w:sz w:val="22"/>
          <w:szCs w:val="22"/>
        </w:rPr>
        <w:t xml:space="preserve">Supporting research and innovation in maternal health</w:t>
      </w:r>
    </w:p>
    <w:p>
      <w:pPr>
        <w:pStyle w:val="ListParagraph"/>
        <w:numPr>
          <w:ilvl w:val="0"/>
          <w:numId w:val="2"/>
        </w:numPr>
        <w:spacing w:after="80"/>
      </w:pPr>
      <w:r>
        <w:rPr>
          <w:rFonts w:ascii="Arial" w:cs="Arial" w:eastAsia="Arial" w:hAnsi="Arial"/>
          <w:sz w:val="22"/>
          <w:szCs w:val="22"/>
        </w:rPr>
        <w:t xml:space="preserve">Facilitating charitable donations and healthcare grants</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4.2 Natal Soul Governance Token (NST)</w:t>
      </w:r>
    </w:p>
    <w:p>
      <w:pPr>
        <w:spacing w:after="120" w:line="320"/>
        <w:jc w:val="both"/>
      </w:pPr>
      <w:r>
        <w:rPr>
          <w:rFonts w:ascii="Arial" w:cs="Arial" w:eastAsia="Arial" w:hAnsi="Arial"/>
          <w:sz w:val="22"/>
          <w:szCs w:val="22"/>
        </w:rPr>
        <w:t xml:space="preserve">NST is a soul-bound, non-transferable governance asset that represents participation rights within the Natal ecosystem. Unlike NATAL, NST cannot be traded — it is earned through verifiable contributions to the ecosystem.</w:t>
      </w:r>
    </w:p>
    <w:p>
      <w:pPr>
        <w:spacing w:after="120"/>
      </w:pPr>
      <w:r>
        <w:t xml:space="preserve"/>
      </w:r>
    </w:p>
    <w:p>
      <w:pPr>
        <w:pStyle w:val="Heading3"/>
        <w:spacing w:after="100" w:before="200"/>
      </w:pPr>
      <w:r>
        <w:rPr>
          <w:rFonts w:ascii="Arial" w:cs="Arial" w:eastAsia="Arial" w:hAnsi="Arial"/>
          <w:b/>
          <w:bCs/>
          <w:color w:val="2C3E50"/>
          <w:sz w:val="24"/>
          <w:szCs w:val="24"/>
        </w:rPr>
        <w:t xml:space="preserve">NST Governance Rights</w:t>
      </w:r>
    </w:p>
    <w:p>
      <w:pPr>
        <w:pStyle w:val="ListParagraph"/>
        <w:numPr>
          <w:ilvl w:val="0"/>
          <w:numId w:val="2"/>
        </w:numPr>
        <w:spacing w:after="80"/>
      </w:pPr>
      <w:r>
        <w:rPr>
          <w:rFonts w:ascii="Arial" w:cs="Arial" w:eastAsia="Arial" w:hAnsi="Arial"/>
          <w:sz w:val="22"/>
          <w:szCs w:val="22"/>
        </w:rPr>
        <w:t xml:space="preserve">Vote on healthcare funding proposals</w:t>
      </w:r>
    </w:p>
    <w:p>
      <w:pPr>
        <w:pStyle w:val="ListParagraph"/>
        <w:numPr>
          <w:ilvl w:val="0"/>
          <w:numId w:val="2"/>
        </w:numPr>
        <w:spacing w:after="80"/>
      </w:pPr>
      <w:r>
        <w:rPr>
          <w:rFonts w:ascii="Arial" w:cs="Arial" w:eastAsia="Arial" w:hAnsi="Arial"/>
          <w:sz w:val="22"/>
          <w:szCs w:val="22"/>
        </w:rPr>
        <w:t xml:space="preserve">Participate in ecosystem governance decisions</w:t>
      </w:r>
    </w:p>
    <w:p>
      <w:pPr>
        <w:pStyle w:val="ListParagraph"/>
        <w:numPr>
          <w:ilvl w:val="0"/>
          <w:numId w:val="2"/>
        </w:numPr>
        <w:spacing w:after="80"/>
      </w:pPr>
      <w:r>
        <w:rPr>
          <w:rFonts w:ascii="Arial" w:cs="Arial" w:eastAsia="Arial" w:hAnsi="Arial"/>
          <w:sz w:val="22"/>
          <w:szCs w:val="22"/>
        </w:rPr>
        <w:t xml:space="preserve">Influence project funding allocation priorities</w:t>
      </w:r>
    </w:p>
    <w:p>
      <w:pPr>
        <w:pStyle w:val="ListParagraph"/>
        <w:numPr>
          <w:ilvl w:val="0"/>
          <w:numId w:val="2"/>
        </w:numPr>
        <w:spacing w:after="80"/>
      </w:pPr>
      <w:r>
        <w:rPr>
          <w:rFonts w:ascii="Arial" w:cs="Arial" w:eastAsia="Arial" w:hAnsi="Arial"/>
          <w:sz w:val="22"/>
          <w:szCs w:val="22"/>
        </w:rPr>
        <w:t xml:space="preserve">Shape ecosystem development roadmap</w:t>
      </w:r>
    </w:p>
    <w:p>
      <w:pPr>
        <w:spacing w:after="120"/>
      </w:pPr>
      <w:r>
        <w:t xml:space="preserve"/>
      </w:r>
    </w:p>
    <w:p>
      <w:pPr>
        <w:spacing w:after="120" w:line="320"/>
        <w:jc w:val="both"/>
      </w:pPr>
      <w:r>
        <w:rPr>
          <w:rFonts w:ascii="Arial" w:cs="Arial" w:eastAsia="Arial" w:hAnsi="Arial"/>
          <w:sz w:val="22"/>
          <w:szCs w:val="22"/>
        </w:rPr>
        <w:t xml:space="preserve">NST ensures decentralized, community-owned governance of the Natal ecosystem — preventing concentration of decision-making power while ensuring that maternal health priorities are set collectively.</w:t>
      </w:r>
    </w:p>
    <w:p>
      <w:pPr>
        <w:spacing w:after="120"/>
      </w:pPr>
      <w:r>
        <w:t xml:space="preserve"/>
      </w:r>
    </w:p>
    <w:p>
      <w:pPr>
        <w:pStyle w:val="Heading1"/>
        <w:shd w:fill="1A5276" w:val="clear"/>
        <w:spacing w:after="180" w:before="360"/>
        <w:ind w:left="240" w:right="240"/>
      </w:pPr>
      <w:r>
        <w:rPr>
          <w:rFonts w:ascii="Arial" w:cs="Arial" w:eastAsia="Arial" w:hAnsi="Arial"/>
          <w:b/>
          <w:bCs/>
          <w:color w:val="FFFFFF"/>
          <w:sz w:val="36"/>
          <w:szCs w:val="36"/>
        </w:rPr>
        <w:t xml:space="preserve">5. Community Governance</w:t>
      </w:r>
    </w:p>
    <w:p>
      <w:pPr>
        <w:spacing w:after="120"/>
      </w:pPr>
      <w:r>
        <w:t xml:space="preserve"/>
      </w:r>
    </w:p>
    <w:p>
      <w:pPr>
        <w:spacing w:after="120" w:line="320"/>
        <w:jc w:val="both"/>
      </w:pPr>
      <w:r>
        <w:rPr>
          <w:rFonts w:ascii="Arial" w:cs="Arial" w:eastAsia="Arial" w:hAnsi="Arial"/>
          <w:sz w:val="22"/>
          <w:szCs w:val="22"/>
        </w:rPr>
        <w:t xml:space="preserve">Natal Token operates under a decentralized governance structure that prioritizes transparency, inclusivity, and community accountability. Governance is powered by NST holders who collectively determine the direction of ecosystem funding and development.</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Governance Mechanisms</w:t>
      </w:r>
    </w:p>
    <w:p>
      <w:pPr>
        <w:pStyle w:val="ListParagraph"/>
        <w:numPr>
          <w:ilvl w:val="0"/>
          <w:numId w:val="2"/>
        </w:numPr>
        <w:spacing w:after="80"/>
      </w:pPr>
      <w:r>
        <w:rPr>
          <w:rFonts w:ascii="Arial" w:cs="Arial" w:eastAsia="Arial" w:hAnsi="Arial"/>
          <w:sz w:val="22"/>
          <w:szCs w:val="22"/>
        </w:rPr>
        <w:t xml:space="preserve">On-chain proposal submission and voting systems</w:t>
      </w:r>
    </w:p>
    <w:p>
      <w:pPr>
        <w:pStyle w:val="ListParagraph"/>
        <w:numPr>
          <w:ilvl w:val="0"/>
          <w:numId w:val="2"/>
        </w:numPr>
        <w:spacing w:after="80"/>
      </w:pPr>
      <w:r>
        <w:rPr>
          <w:rFonts w:ascii="Arial" w:cs="Arial" w:eastAsia="Arial" w:hAnsi="Arial"/>
          <w:sz w:val="22"/>
          <w:szCs w:val="22"/>
        </w:rPr>
        <w:t xml:space="preserve">Community-validated healthcare project approvals</w:t>
      </w:r>
    </w:p>
    <w:p>
      <w:pPr>
        <w:pStyle w:val="ListParagraph"/>
        <w:numPr>
          <w:ilvl w:val="0"/>
          <w:numId w:val="2"/>
        </w:numPr>
        <w:spacing w:after="80"/>
      </w:pPr>
      <w:r>
        <w:rPr>
          <w:rFonts w:ascii="Arial" w:cs="Arial" w:eastAsia="Arial" w:hAnsi="Arial"/>
          <w:sz w:val="22"/>
          <w:szCs w:val="22"/>
        </w:rPr>
        <w:t xml:space="preserve">Transparent reporting of all funded initiatives</w:t>
      </w:r>
    </w:p>
    <w:p>
      <w:pPr>
        <w:pStyle w:val="ListParagraph"/>
        <w:numPr>
          <w:ilvl w:val="0"/>
          <w:numId w:val="2"/>
        </w:numPr>
        <w:spacing w:after="80"/>
      </w:pPr>
      <w:r>
        <w:rPr>
          <w:rFonts w:ascii="Arial" w:cs="Arial" w:eastAsia="Arial" w:hAnsi="Arial"/>
          <w:sz w:val="22"/>
          <w:szCs w:val="22"/>
        </w:rPr>
        <w:t xml:space="preserve">Decentralized funding allocation for high-impact interventions</w:t>
      </w:r>
    </w:p>
    <w:p>
      <w:pPr>
        <w:spacing w:after="120"/>
      </w:pPr>
      <w:r>
        <w:t xml:space="preserve"/>
      </w:r>
    </w:p>
    <w:p>
      <w:pPr>
        <w:spacing w:after="120" w:line="320"/>
        <w:jc w:val="both"/>
      </w:pPr>
      <w:r>
        <w:rPr>
          <w:rFonts w:ascii="Arial" w:cs="Arial" w:eastAsia="Arial" w:hAnsi="Arial"/>
          <w:sz w:val="22"/>
          <w:szCs w:val="22"/>
        </w:rPr>
        <w:t xml:space="preserve">This model ensures that maternal health priorities are determined by those most committed to the ecosystem, rather than by centralized authorities — strengthening accountability and impact measurement.</w:t>
      </w:r>
    </w:p>
    <w:p>
      <w:pPr>
        <w:spacing w:after="120"/>
      </w:pPr>
      <w:r>
        <w:t xml:space="preserve"/>
      </w:r>
    </w:p>
    <w:p>
      <w:pPr>
        <w:pStyle w:val="Heading1"/>
        <w:shd w:fill="1A5276" w:val="clear"/>
        <w:spacing w:after="180" w:before="360"/>
        <w:ind w:left="240" w:right="240"/>
      </w:pPr>
      <w:r>
        <w:rPr>
          <w:rFonts w:ascii="Arial" w:cs="Arial" w:eastAsia="Arial" w:hAnsi="Arial"/>
          <w:b/>
          <w:bCs/>
          <w:color w:val="FFFFFF"/>
          <w:sz w:val="36"/>
          <w:szCs w:val="36"/>
        </w:rPr>
        <w:t xml:space="preserve">6. Incentive System</w:t>
      </w:r>
    </w:p>
    <w:p>
      <w:pPr>
        <w:spacing w:after="120"/>
      </w:pPr>
      <w:r>
        <w:t xml:space="preserve"/>
      </w:r>
    </w:p>
    <w:p>
      <w:pPr>
        <w:spacing w:after="120" w:line="320"/>
        <w:jc w:val="both"/>
      </w:pPr>
      <w:r>
        <w:rPr>
          <w:rFonts w:ascii="Arial" w:cs="Arial" w:eastAsia="Arial" w:hAnsi="Arial"/>
          <w:sz w:val="22"/>
          <w:szCs w:val="22"/>
        </w:rPr>
        <w:t xml:space="preserve">Natal Token introduces a structured incentive system designed to reward meaningful participation across all ecosystem roles, aligning economic value with healthcare impact.</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Incentive Categories</w:t>
      </w:r>
    </w:p>
    <w:p>
      <w:pPr>
        <w:pStyle w:val="ListParagraph"/>
        <w:numPr>
          <w:ilvl w:val="0"/>
          <w:numId w:val="2"/>
        </w:numPr>
        <w:spacing w:after="80"/>
      </w:pPr>
      <w:r>
        <w:rPr>
          <w:rFonts w:ascii="Arial" w:cs="Arial" w:eastAsia="Arial" w:hAnsi="Arial"/>
          <w:sz w:val="22"/>
          <w:szCs w:val="22"/>
        </w:rPr>
        <w:t xml:space="preserve">Token rewards for healthcare providers delivering verified maternal services</w:t>
      </w:r>
    </w:p>
    <w:p>
      <w:pPr>
        <w:pStyle w:val="ListParagraph"/>
        <w:numPr>
          <w:ilvl w:val="0"/>
          <w:numId w:val="2"/>
        </w:numPr>
        <w:spacing w:after="80"/>
      </w:pPr>
      <w:r>
        <w:rPr>
          <w:rFonts w:ascii="Arial" w:cs="Arial" w:eastAsia="Arial" w:hAnsi="Arial"/>
          <w:sz w:val="22"/>
          <w:szCs w:val="22"/>
        </w:rPr>
        <w:t xml:space="preserve">Research grants for maternal health innovators and scientists</w:t>
      </w:r>
    </w:p>
    <w:p>
      <w:pPr>
        <w:pStyle w:val="ListParagraph"/>
        <w:numPr>
          <w:ilvl w:val="0"/>
          <w:numId w:val="2"/>
        </w:numPr>
        <w:spacing w:after="80"/>
      </w:pPr>
      <w:r>
        <w:rPr>
          <w:rFonts w:ascii="Arial" w:cs="Arial" w:eastAsia="Arial" w:hAnsi="Arial"/>
          <w:sz w:val="22"/>
          <w:szCs w:val="22"/>
        </w:rPr>
        <w:t xml:space="preserve">Scholarships and funding for maternal healthcare education programs</w:t>
      </w:r>
    </w:p>
    <w:p>
      <w:pPr>
        <w:pStyle w:val="ListParagraph"/>
        <w:numPr>
          <w:ilvl w:val="0"/>
          <w:numId w:val="2"/>
        </w:numPr>
        <w:spacing w:after="80"/>
      </w:pPr>
      <w:r>
        <w:rPr>
          <w:rFonts w:ascii="Arial" w:cs="Arial" w:eastAsia="Arial" w:hAnsi="Arial"/>
          <w:sz w:val="22"/>
          <w:szCs w:val="22"/>
        </w:rPr>
        <w:t xml:space="preserve">Rewards for community health workers and birth attendants</w:t>
      </w:r>
    </w:p>
    <w:p>
      <w:pPr>
        <w:pStyle w:val="ListParagraph"/>
        <w:numPr>
          <w:ilvl w:val="0"/>
          <w:numId w:val="2"/>
        </w:numPr>
        <w:spacing w:after="80"/>
      </w:pPr>
      <w:r>
        <w:rPr>
          <w:rFonts w:ascii="Arial" w:cs="Arial" w:eastAsia="Arial" w:hAnsi="Arial"/>
          <w:sz w:val="22"/>
          <w:szCs w:val="22"/>
        </w:rPr>
        <w:t xml:space="preserve">Token incentives for verified maternal health data contributions</w:t>
      </w:r>
    </w:p>
    <w:p>
      <w:pPr>
        <w:spacing w:after="120"/>
      </w:pPr>
      <w:r>
        <w:t xml:space="preserve"/>
      </w:r>
    </w:p>
    <w:p>
      <w:pPr>
        <w:pStyle w:val="Heading1"/>
        <w:shd w:fill="1A5276" w:val="clear"/>
        <w:spacing w:after="180" w:before="360"/>
        <w:ind w:left="240" w:right="240"/>
      </w:pPr>
      <w:r>
        <w:rPr>
          <w:rFonts w:ascii="Arial" w:cs="Arial" w:eastAsia="Arial" w:hAnsi="Arial"/>
          <w:b/>
          <w:bCs/>
          <w:color w:val="FFFFFF"/>
          <w:sz w:val="36"/>
          <w:szCs w:val="36"/>
        </w:rPr>
        <w:t xml:space="preserve">7. Commercialization of Maternal Health Innovation</w:t>
      </w:r>
    </w:p>
    <w:p>
      <w:pPr>
        <w:spacing w:after="120"/>
      </w:pPr>
      <w:r>
        <w:t xml:space="preserve"/>
      </w:r>
    </w:p>
    <w:p>
      <w:pPr>
        <w:spacing w:after="120" w:line="320"/>
        <w:jc w:val="both"/>
      </w:pPr>
      <w:r>
        <w:rPr>
          <w:rFonts w:ascii="Arial" w:cs="Arial" w:eastAsia="Arial" w:hAnsi="Arial"/>
          <w:sz w:val="22"/>
          <w:szCs w:val="22"/>
        </w:rPr>
        <w:t xml:space="preserve">Natal Token actively funds the development and commercialization of maternal health innovations. Researchers, developers, and healthcare innovators are incentivized through token rewards to build scalable, real-world maternal health solutions.</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Funded Innovation Categories</w:t>
      </w:r>
    </w:p>
    <w:p>
      <w:pPr>
        <w:pStyle w:val="ListParagraph"/>
        <w:numPr>
          <w:ilvl w:val="0"/>
          <w:numId w:val="2"/>
        </w:numPr>
        <w:spacing w:after="80"/>
      </w:pPr>
      <w:r>
        <w:rPr>
          <w:rFonts w:ascii="Arial" w:cs="Arial" w:eastAsia="Arial" w:hAnsi="Arial"/>
          <w:sz w:val="22"/>
          <w:szCs w:val="22"/>
        </w:rPr>
        <w:t xml:space="preserve">Prenatal diagnostic tools and medical devices</w:t>
      </w:r>
    </w:p>
    <w:p>
      <w:pPr>
        <w:pStyle w:val="ListParagraph"/>
        <w:numPr>
          <w:ilvl w:val="0"/>
          <w:numId w:val="2"/>
        </w:numPr>
        <w:spacing w:after="80"/>
      </w:pPr>
      <w:r>
        <w:rPr>
          <w:rFonts w:ascii="Arial" w:cs="Arial" w:eastAsia="Arial" w:hAnsi="Arial"/>
          <w:sz w:val="22"/>
          <w:szCs w:val="22"/>
        </w:rPr>
        <w:t xml:space="preserve">Maternal health mobile applications and digital platforms</w:t>
      </w:r>
    </w:p>
    <w:p>
      <w:pPr>
        <w:pStyle w:val="ListParagraph"/>
        <w:numPr>
          <w:ilvl w:val="0"/>
          <w:numId w:val="2"/>
        </w:numPr>
        <w:spacing w:after="80"/>
      </w:pPr>
      <w:r>
        <w:rPr>
          <w:rFonts w:ascii="Arial" w:cs="Arial" w:eastAsia="Arial" w:hAnsi="Arial"/>
          <w:sz w:val="22"/>
          <w:szCs w:val="22"/>
        </w:rPr>
        <w:t xml:space="preserve">Community health programs and outreach infrastructure</w:t>
      </w:r>
    </w:p>
    <w:p>
      <w:pPr>
        <w:pStyle w:val="ListParagraph"/>
        <w:numPr>
          <w:ilvl w:val="0"/>
          <w:numId w:val="2"/>
        </w:numPr>
        <w:spacing w:after="80"/>
      </w:pPr>
      <w:r>
        <w:rPr>
          <w:rFonts w:ascii="Arial" w:cs="Arial" w:eastAsia="Arial" w:hAnsi="Arial"/>
          <w:sz w:val="22"/>
          <w:szCs w:val="22"/>
        </w:rPr>
        <w:t xml:space="preserve">AI-based pregnancy monitoring and risk detection systems</w:t>
      </w:r>
    </w:p>
    <w:p>
      <w:pPr>
        <w:pStyle w:val="ListParagraph"/>
        <w:numPr>
          <w:ilvl w:val="0"/>
          <w:numId w:val="2"/>
        </w:numPr>
        <w:spacing w:after="80"/>
      </w:pPr>
      <w:r>
        <w:rPr>
          <w:rFonts w:ascii="Arial" w:cs="Arial" w:eastAsia="Arial" w:hAnsi="Arial"/>
          <w:sz w:val="22"/>
          <w:szCs w:val="22"/>
        </w:rPr>
        <w:t xml:space="preserve">Rural maternal care infrastructure development</w:t>
      </w:r>
    </w:p>
    <w:p>
      <w:pPr>
        <w:spacing w:after="120"/>
      </w:pPr>
      <w:r>
        <w:t xml:space="preserve"/>
      </w:r>
    </w:p>
    <w:p>
      <w:pPr>
        <w:spacing w:after="120" w:line="320"/>
        <w:jc w:val="both"/>
      </w:pPr>
      <w:r>
        <w:rPr>
          <w:rFonts w:ascii="Arial" w:cs="Arial" w:eastAsia="Arial" w:hAnsi="Arial"/>
          <w:sz w:val="22"/>
          <w:szCs w:val="22"/>
        </w:rPr>
        <w:t xml:space="preserve">This commercialization pipeline ensures that innovation is continuously funded, deployed, and scaled — driving measurable improvements in maternal health outcomes worldwide.</w:t>
      </w:r>
    </w:p>
    <w:p>
      <w:pPr>
        <w:spacing w:after="120"/>
      </w:pPr>
      <w:r>
        <w:t xml:space="preserve"/>
      </w:r>
    </w:p>
    <w:p>
      <w:r>
        <w:br w:type="page"/>
      </w:r>
    </w:p>
    <w:p>
      <w:pPr>
        <w:pStyle w:val="Heading1"/>
        <w:shd w:fill="1A5276" w:val="clear"/>
        <w:spacing w:after="180" w:before="360"/>
        <w:ind w:left="240" w:right="240"/>
      </w:pPr>
      <w:r>
        <w:rPr>
          <w:rFonts w:ascii="Arial" w:cs="Arial" w:eastAsia="Arial" w:hAnsi="Arial"/>
          <w:b/>
          <w:bCs/>
          <w:color w:val="FFFFFF"/>
          <w:sz w:val="36"/>
          <w:szCs w:val="36"/>
        </w:rPr>
        <w:t xml:space="preserve">8. Tokenomics &amp; Supply Model</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8.1 Total Supply</w:t>
      </w:r>
    </w:p>
    <w:p>
      <w:pPr>
        <w:shd w:fill="D6EAF8" w:val="clear"/>
        <w:spacing w:after="200" w:before="200"/>
        <w:jc w:val="center"/>
      </w:pPr>
      <w:r>
        <w:rPr>
          <w:rFonts w:ascii="Arial" w:cs="Arial" w:eastAsia="Arial" w:hAnsi="Arial"/>
          <w:b/>
          <w:bCs/>
          <w:color w:val="1A5276"/>
          <w:sz w:val="52"/>
          <w:szCs w:val="52"/>
        </w:rPr>
        <w:t xml:space="preserve">55,000,000 NATAL</w:t>
      </w:r>
    </w:p>
    <w:p>
      <w:pPr>
        <w:spacing w:after="200"/>
        <w:jc w:val="center"/>
      </w:pPr>
      <w:r>
        <w:rPr>
          <w:rFonts w:ascii="Arial" w:cs="Arial" w:eastAsia="Arial" w:hAnsi="Arial"/>
          <w:i/>
          <w:iCs/>
          <w:color w:val="2C3E50"/>
          <w:sz w:val="24"/>
          <w:szCs w:val="24"/>
        </w:rPr>
        <w:t xml:space="preserve">Fixed Maximum Supply — Non-Inflationary</w:t>
      </w:r>
    </w:p>
    <w:p>
      <w:pPr>
        <w:spacing w:after="120" w:line="320"/>
        <w:jc w:val="both"/>
      </w:pPr>
      <w:r>
        <w:rPr>
          <w:rFonts w:ascii="Arial" w:cs="Arial" w:eastAsia="Arial" w:hAnsi="Arial"/>
          <w:sz w:val="22"/>
          <w:szCs w:val="22"/>
        </w:rPr>
        <w:t xml:space="preserve">Natal Token's fixed supply of 55 million tokens reinforces its long-term vision of scarcity-backed impact funding. This controlled supply ensures that every token represents meaningful participation in a globally significant maternal health infrastructure. By capping total issuance, the ecosystem avoids inflationary pressures that could dilute the value of contributions made by healthcare supporters and donors.</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8.2 Distribution Model</w:t>
      </w:r>
    </w:p>
    <w:p>
      <w:pPr>
        <w:spacing w:after="120" w:line="320"/>
        <w:jc w:val="both"/>
      </w:pPr>
      <w:r>
        <w:rPr>
          <w:rFonts w:ascii="Arial" w:cs="Arial" w:eastAsia="Arial" w:hAnsi="Arial"/>
          <w:sz w:val="22"/>
          <w:szCs w:val="22"/>
        </w:rPr>
        <w:t xml:space="preserve">The 55 million NATAL tokens are allocated across key ecosystem functions, ensuring that the majority of supply directly supports maternal healthcare outcomes rather than speculative circulation. Each allocation is structured with clear purpose and accountability mechanisms.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200"/>
        <w:gridCol w:w="800"/>
        <w:gridCol w:w="3360"/>
      </w:tblGrid>
      <w:tr>
        <w:trPr>
          <w:tblHeader/>
        </w:trPr>
        <w:tc>
          <w:tcPr>
            <w:tcW w:type="dxa" w:w="600"/>
            <w:tcBorders>
              <w:top w:val="single" w:color="CCCCCC" w:sz="1"/>
              <w:left w:val="single" w:color="CCCCCC" w:sz="1"/>
              <w:bottom w:val="single" w:color="CCCCCC" w:sz="1"/>
              <w:right w:val="single" w:color="CCCCCC" w:sz="1"/>
            </w:tcBorders>
            <w:shd w:fill="1A527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w:r>
          </w:p>
        </w:tc>
        <w:tc>
          <w:tcPr>
            <w:tcW w:type="dxa" w:w="2400"/>
            <w:tcBorders>
              <w:top w:val="single" w:color="CCCCCC" w:sz="1"/>
              <w:left w:val="single" w:color="CCCCCC" w:sz="1"/>
              <w:bottom w:val="single" w:color="CCCCCC" w:sz="1"/>
              <w:right w:val="single" w:color="CCCCCC" w:sz="1"/>
            </w:tcBorders>
            <w:shd w:fill="1A5276" w:val="clear"/>
            <w:tcMar>
              <w:top w:type="dxa" w:w="120"/>
              <w:left w:type="dxa" w:w="120"/>
              <w:bottom w:type="dxa" w:w="120"/>
              <w:right w:type="dxa" w:w="120"/>
            </w:tcMar>
          </w:tcPr>
          <w:p>
            <w:r>
              <w:rPr>
                <w:rFonts w:ascii="Arial" w:cs="Arial" w:eastAsia="Arial" w:hAnsi="Arial"/>
                <w:b/>
                <w:bCs/>
                <w:color w:val="FFFFFF"/>
                <w:sz w:val="20"/>
                <w:szCs w:val="20"/>
              </w:rPr>
              <w:t xml:space="preserve">Allocation Category</w:t>
            </w:r>
          </w:p>
        </w:tc>
        <w:tc>
          <w:tcPr>
            <w:tcW w:type="dxa" w:w="2200"/>
            <w:tcBorders>
              <w:top w:val="single" w:color="CCCCCC" w:sz="1"/>
              <w:left w:val="single" w:color="CCCCCC" w:sz="1"/>
              <w:bottom w:val="single" w:color="CCCCCC" w:sz="1"/>
              <w:right w:val="single" w:color="CCCCCC" w:sz="1"/>
            </w:tcBorders>
            <w:shd w:fill="1A5276"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Token Amount</w:t>
            </w:r>
          </w:p>
        </w:tc>
        <w:tc>
          <w:tcPr>
            <w:tcW w:type="dxa" w:w="800"/>
            <w:tcBorders>
              <w:top w:val="single" w:color="CCCCCC" w:sz="1"/>
              <w:left w:val="single" w:color="CCCCCC" w:sz="1"/>
              <w:bottom w:val="single" w:color="CCCCCC" w:sz="1"/>
              <w:right w:val="single" w:color="CCCCCC" w:sz="1"/>
            </w:tcBorders>
            <w:shd w:fill="1A5276" w:val="clear"/>
            <w:tcMar>
              <w:top w:type="dxa" w:w="120"/>
              <w:left w:type="dxa" w:w="80"/>
              <w:bottom w:type="dxa" w:w="120"/>
              <w:right w:type="dxa" w:w="80"/>
            </w:tcMar>
          </w:tcPr>
          <w:p>
            <w:pPr>
              <w:jc w:val="center"/>
            </w:pPr>
            <w:r>
              <w:rPr>
                <w:rFonts w:ascii="Arial" w:cs="Arial" w:eastAsia="Arial" w:hAnsi="Arial"/>
                <w:b/>
                <w:bCs/>
                <w:color w:val="FFFFFF"/>
                <w:sz w:val="20"/>
                <w:szCs w:val="20"/>
              </w:rPr>
              <w:t xml:space="preserve">%</w:t>
            </w:r>
          </w:p>
        </w:tc>
        <w:tc>
          <w:tcPr>
            <w:tcW w:type="dxa" w:w="3360"/>
            <w:tcBorders>
              <w:top w:val="single" w:color="CCCCCC" w:sz="1"/>
              <w:left w:val="single" w:color="CCCCCC" w:sz="1"/>
              <w:bottom w:val="single" w:color="CCCCCC" w:sz="1"/>
              <w:right w:val="single" w:color="CCCCCC" w:sz="1"/>
            </w:tcBorders>
            <w:shd w:fill="1A5276" w:val="clear"/>
            <w:tcMar>
              <w:top w:type="dxa" w:w="120"/>
              <w:left w:type="dxa" w:w="120"/>
              <w:bottom w:type="dxa" w:w="120"/>
              <w:right w:type="dxa" w:w="120"/>
            </w:tcMar>
          </w:tcPr>
          <w:p>
            <w:r>
              <w:rPr>
                <w:rFonts w:ascii="Arial" w:cs="Arial" w:eastAsia="Arial" w:hAnsi="Arial"/>
                <w:b/>
                <w:bCs/>
                <w:color w:val="FFFFFF"/>
                <w:sz w:val="20"/>
                <w:szCs w:val="20"/>
              </w:rPr>
              <w:t xml:space="preserve">Primary Purpose</w:t>
            </w:r>
          </w:p>
        </w:tc>
      </w:tr>
      <w:tr>
        <w:tc>
          <w:tcPr>
            <w:tcW w:type="dxa" w:w="60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vAlign w:val="center"/>
          </w:tcPr>
          <w:p>
            <w:pPr>
              <w:jc w:val="center"/>
            </w:pPr>
            <w:r>
              <w:rPr>
                <w:rFonts w:ascii="Arial" w:cs="Arial" w:eastAsia="Arial" w:hAnsi="Arial"/>
                <w:sz w:val="28"/>
                <w:szCs w:val="28"/>
              </w:rPr>
              <w:t xml:space="preserve">🔥</w:t>
            </w:r>
          </w:p>
        </w:tc>
        <w:tc>
          <w:tcPr>
            <w:tcW w:type="dxa" w:w="240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r>
              <w:rPr>
                <w:rFonts w:ascii="Arial" w:cs="Arial" w:eastAsia="Arial" w:hAnsi="Arial"/>
                <w:b/>
                <w:bCs/>
                <w:color w:val="1B2631"/>
                <w:sz w:val="20"/>
                <w:szCs w:val="20"/>
              </w:rPr>
              <w:t xml:space="preserve">Burn Mechanism</w:t>
            </w:r>
          </w:p>
        </w:tc>
        <w:tc>
          <w:tcPr>
            <w:tcW w:type="dxa" w:w="220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pPr>
              <w:jc w:val="center"/>
            </w:pPr>
            <w:r>
              <w:rPr>
                <w:rFonts w:ascii="Arial" w:cs="Arial" w:eastAsia="Arial" w:hAnsi="Arial"/>
                <w:b/>
                <w:bCs/>
                <w:color w:val="1A5276"/>
                <w:sz w:val="20"/>
                <w:szCs w:val="20"/>
              </w:rPr>
              <w:t xml:space="preserve">11,000,000</w:t>
            </w:r>
          </w:p>
        </w:tc>
        <w:tc>
          <w:tcPr>
            <w:tcW w:type="dxa" w:w="800"/>
            <w:tcBorders>
              <w:top w:val="single" w:color="CCCCCC" w:sz="1"/>
              <w:left w:val="single" w:color="CCCCCC" w:sz="1"/>
              <w:bottom w:val="single" w:color="CCCCCC" w:sz="1"/>
              <w:right w:val="single" w:color="CCCCCC" w:sz="1"/>
            </w:tcBorders>
            <w:shd w:fill="FFF0F0" w:val="clear"/>
            <w:tcMar>
              <w:top w:type="dxa" w:w="100"/>
              <w:left w:type="dxa" w:w="80"/>
              <w:bottom w:type="dxa" w:w="100"/>
              <w:right w:type="dxa" w:w="80"/>
            </w:tcMar>
          </w:tcPr>
          <w:p>
            <w:pPr>
              <w:jc w:val="center"/>
            </w:pPr>
            <w:r>
              <w:rPr>
                <w:rFonts w:ascii="Arial" w:cs="Arial" w:eastAsia="Arial" w:hAnsi="Arial"/>
                <w:b/>
                <w:bCs/>
                <w:color w:val="2E86C1"/>
                <w:sz w:val="20"/>
                <w:szCs w:val="20"/>
              </w:rPr>
              <w:t xml:space="preserve">20%</w:t>
            </w:r>
          </w:p>
        </w:tc>
        <w:tc>
          <w:tcPr>
            <w:tcW w:type="dxa" w:w="3360"/>
            <w:tcBorders>
              <w:top w:val="single" w:color="CCCCCC" w:sz="1"/>
              <w:left w:val="single" w:color="CCCCCC" w:sz="1"/>
              <w:bottom w:val="single" w:color="CCCCCC" w:sz="1"/>
              <w:right w:val="single" w:color="CCCCCC" w:sz="1"/>
            </w:tcBorders>
            <w:shd w:fill="FFF0F0" w:val="clear"/>
            <w:tcMar>
              <w:top w:type="dxa" w:w="100"/>
              <w:left w:type="dxa" w:w="120"/>
              <w:bottom w:type="dxa" w:w="100"/>
              <w:right w:type="dxa" w:w="120"/>
            </w:tcMar>
          </w:tcPr>
          <w:p>
            <w:r>
              <w:rPr>
                <w:rFonts w:ascii="Arial" w:cs="Arial" w:eastAsia="Arial" w:hAnsi="Arial"/>
                <w:sz w:val="18"/>
                <w:szCs w:val="18"/>
              </w:rPr>
              <w:t xml:space="preserve">Permanently removed from circulation to increase scarcity and long-term value</w:t>
            </w:r>
          </w:p>
        </w:tc>
      </w:tr>
      <w:tr>
        <w:tc>
          <w:tcPr>
            <w:tcW w:type="dxa" w:w="600"/>
            <w:tcBorders>
              <w:top w:val="single" w:color="CCCCCC" w:sz="1"/>
              <w:left w:val="single" w:color="CCCCCC" w:sz="1"/>
              <w:bottom w:val="single" w:color="CCCCCC" w:sz="1"/>
              <w:right w:val="single" w:color="CCCCCC" w:sz="1"/>
            </w:tcBorders>
            <w:shd w:fill="FFF8E8" w:val="clear"/>
            <w:tcMar>
              <w:top w:type="dxa" w:w="100"/>
              <w:left w:type="dxa" w:w="120"/>
              <w:bottom w:type="dxa" w:w="100"/>
              <w:right w:type="dxa" w:w="120"/>
            </w:tcMar>
            <w:vAlign w:val="center"/>
          </w:tcPr>
          <w:p>
            <w:pPr>
              <w:jc w:val="center"/>
            </w:pPr>
            <w:r>
              <w:rPr>
                <w:rFonts w:ascii="Arial" w:cs="Arial" w:eastAsia="Arial" w:hAnsi="Arial"/>
                <w:sz w:val="28"/>
                <w:szCs w:val="28"/>
              </w:rPr>
              <w:t xml:space="preserve">👨‍💻</w:t>
            </w:r>
          </w:p>
        </w:tc>
        <w:tc>
          <w:tcPr>
            <w:tcW w:type="dxa" w:w="2400"/>
            <w:tcBorders>
              <w:top w:val="single" w:color="CCCCCC" w:sz="1"/>
              <w:left w:val="single" w:color="CCCCCC" w:sz="1"/>
              <w:bottom w:val="single" w:color="CCCCCC" w:sz="1"/>
              <w:right w:val="single" w:color="CCCCCC" w:sz="1"/>
            </w:tcBorders>
            <w:shd w:fill="FFF8E8" w:val="clear"/>
            <w:tcMar>
              <w:top w:type="dxa" w:w="100"/>
              <w:left w:type="dxa" w:w="120"/>
              <w:bottom w:type="dxa" w:w="100"/>
              <w:right w:type="dxa" w:w="120"/>
            </w:tcMar>
          </w:tcPr>
          <w:p>
            <w:r>
              <w:rPr>
                <w:rFonts w:ascii="Arial" w:cs="Arial" w:eastAsia="Arial" w:hAnsi="Arial"/>
                <w:b/>
                <w:bCs/>
                <w:color w:val="1B2631"/>
                <w:sz w:val="20"/>
                <w:szCs w:val="20"/>
              </w:rPr>
              <w:t xml:space="preserve">Team Allocation</w:t>
            </w:r>
          </w:p>
        </w:tc>
        <w:tc>
          <w:tcPr>
            <w:tcW w:type="dxa" w:w="2200"/>
            <w:tcBorders>
              <w:top w:val="single" w:color="CCCCCC" w:sz="1"/>
              <w:left w:val="single" w:color="CCCCCC" w:sz="1"/>
              <w:bottom w:val="single" w:color="CCCCCC" w:sz="1"/>
              <w:right w:val="single" w:color="CCCCCC" w:sz="1"/>
            </w:tcBorders>
            <w:shd w:fill="FFF8E8" w:val="clear"/>
            <w:tcMar>
              <w:top w:type="dxa" w:w="100"/>
              <w:left w:type="dxa" w:w="120"/>
              <w:bottom w:type="dxa" w:w="100"/>
              <w:right w:type="dxa" w:w="120"/>
            </w:tcMar>
          </w:tcPr>
          <w:p>
            <w:pPr>
              <w:jc w:val="center"/>
            </w:pPr>
            <w:r>
              <w:rPr>
                <w:rFonts w:ascii="Arial" w:cs="Arial" w:eastAsia="Arial" w:hAnsi="Arial"/>
                <w:b/>
                <w:bCs/>
                <w:color w:val="1A5276"/>
                <w:sz w:val="20"/>
                <w:szCs w:val="20"/>
              </w:rPr>
              <w:t xml:space="preserve">5,500,000</w:t>
            </w:r>
          </w:p>
        </w:tc>
        <w:tc>
          <w:tcPr>
            <w:tcW w:type="dxa" w:w="800"/>
            <w:tcBorders>
              <w:top w:val="single" w:color="CCCCCC" w:sz="1"/>
              <w:left w:val="single" w:color="CCCCCC" w:sz="1"/>
              <w:bottom w:val="single" w:color="CCCCCC" w:sz="1"/>
              <w:right w:val="single" w:color="CCCCCC" w:sz="1"/>
            </w:tcBorders>
            <w:shd w:fill="FFF8E8" w:val="clear"/>
            <w:tcMar>
              <w:top w:type="dxa" w:w="100"/>
              <w:left w:type="dxa" w:w="80"/>
              <w:bottom w:type="dxa" w:w="100"/>
              <w:right w:type="dxa" w:w="80"/>
            </w:tcMar>
          </w:tcPr>
          <w:p>
            <w:pPr>
              <w:jc w:val="center"/>
            </w:pPr>
            <w:r>
              <w:rPr>
                <w:rFonts w:ascii="Arial" w:cs="Arial" w:eastAsia="Arial" w:hAnsi="Arial"/>
                <w:b/>
                <w:bCs/>
                <w:color w:val="2E86C1"/>
                <w:sz w:val="20"/>
                <w:szCs w:val="20"/>
              </w:rPr>
              <w:t xml:space="preserve">10%</w:t>
            </w:r>
          </w:p>
        </w:tc>
        <w:tc>
          <w:tcPr>
            <w:tcW w:type="dxa" w:w="3360"/>
            <w:tcBorders>
              <w:top w:val="single" w:color="CCCCCC" w:sz="1"/>
              <w:left w:val="single" w:color="CCCCCC" w:sz="1"/>
              <w:bottom w:val="single" w:color="CCCCCC" w:sz="1"/>
              <w:right w:val="single" w:color="CCCCCC" w:sz="1"/>
            </w:tcBorders>
            <w:shd w:fill="FFF8E8" w:val="clear"/>
            <w:tcMar>
              <w:top w:type="dxa" w:w="100"/>
              <w:left w:type="dxa" w:w="120"/>
              <w:bottom w:type="dxa" w:w="100"/>
              <w:right w:type="dxa" w:w="120"/>
            </w:tcMar>
          </w:tcPr>
          <w:p>
            <w:r>
              <w:rPr>
                <w:rFonts w:ascii="Arial" w:cs="Arial" w:eastAsia="Arial" w:hAnsi="Arial"/>
                <w:sz w:val="18"/>
                <w:szCs w:val="18"/>
              </w:rPr>
              <w:t xml:space="preserve">Core development, operations, salaries, and project maintenance (12–24 month vesting)</w:t>
            </w:r>
          </w:p>
        </w:tc>
      </w:tr>
      <w:tr>
        <w:tc>
          <w:tcPr>
            <w:tcW w:type="dxa" w:w="60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vAlign w:val="center"/>
          </w:tcPr>
          <w:p>
            <w:pPr>
              <w:jc w:val="center"/>
            </w:pPr>
            <w:r>
              <w:rPr>
                <w:rFonts w:ascii="Arial" w:cs="Arial" w:eastAsia="Arial" w:hAnsi="Arial"/>
                <w:sz w:val="28"/>
                <w:szCs w:val="28"/>
              </w:rPr>
              <w:t xml:space="preserve">🌱</w:t>
            </w:r>
          </w:p>
        </w:tc>
        <w:tc>
          <w:tcPr>
            <w:tcW w:type="dxa" w:w="240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tcPr>
          <w:p>
            <w:r>
              <w:rPr>
                <w:rFonts w:ascii="Arial" w:cs="Arial" w:eastAsia="Arial" w:hAnsi="Arial"/>
                <w:b/>
                <w:bCs/>
                <w:color w:val="1B2631"/>
                <w:sz w:val="20"/>
                <w:szCs w:val="20"/>
              </w:rPr>
              <w:t xml:space="preserve">Ecosystem &amp; Dev Fund</w:t>
            </w:r>
          </w:p>
        </w:tc>
        <w:tc>
          <w:tcPr>
            <w:tcW w:type="dxa" w:w="220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tcPr>
          <w:p>
            <w:pPr>
              <w:jc w:val="center"/>
            </w:pPr>
            <w:r>
              <w:rPr>
                <w:rFonts w:ascii="Arial" w:cs="Arial" w:eastAsia="Arial" w:hAnsi="Arial"/>
                <w:b/>
                <w:bCs/>
                <w:color w:val="1A5276"/>
                <w:sz w:val="20"/>
                <w:szCs w:val="20"/>
              </w:rPr>
              <w:t xml:space="preserve">13,750,000</w:t>
            </w:r>
          </w:p>
        </w:tc>
        <w:tc>
          <w:tcPr>
            <w:tcW w:type="dxa" w:w="800"/>
            <w:tcBorders>
              <w:top w:val="single" w:color="CCCCCC" w:sz="1"/>
              <w:left w:val="single" w:color="CCCCCC" w:sz="1"/>
              <w:bottom w:val="single" w:color="CCCCCC" w:sz="1"/>
              <w:right w:val="single" w:color="CCCCCC" w:sz="1"/>
            </w:tcBorders>
            <w:shd w:fill="F0FFF0" w:val="clear"/>
            <w:tcMar>
              <w:top w:type="dxa" w:w="100"/>
              <w:left w:type="dxa" w:w="80"/>
              <w:bottom w:type="dxa" w:w="100"/>
              <w:right w:type="dxa" w:w="80"/>
            </w:tcMar>
          </w:tcPr>
          <w:p>
            <w:pPr>
              <w:jc w:val="center"/>
            </w:pPr>
            <w:r>
              <w:rPr>
                <w:rFonts w:ascii="Arial" w:cs="Arial" w:eastAsia="Arial" w:hAnsi="Arial"/>
                <w:b/>
                <w:bCs/>
                <w:color w:val="2E86C1"/>
                <w:sz w:val="20"/>
                <w:szCs w:val="20"/>
              </w:rPr>
              <w:t xml:space="preserve">25%</w:t>
            </w:r>
          </w:p>
        </w:tc>
        <w:tc>
          <w:tcPr>
            <w:tcW w:type="dxa" w:w="3360"/>
            <w:tcBorders>
              <w:top w:val="single" w:color="CCCCCC" w:sz="1"/>
              <w:left w:val="single" w:color="CCCCCC" w:sz="1"/>
              <w:bottom w:val="single" w:color="CCCCCC" w:sz="1"/>
              <w:right w:val="single" w:color="CCCCCC" w:sz="1"/>
            </w:tcBorders>
            <w:shd w:fill="F0FFF0" w:val="clear"/>
            <w:tcMar>
              <w:top w:type="dxa" w:w="100"/>
              <w:left w:type="dxa" w:w="120"/>
              <w:bottom w:type="dxa" w:w="100"/>
              <w:right w:type="dxa" w:w="120"/>
            </w:tcMar>
          </w:tcPr>
          <w:p>
            <w:r>
              <w:rPr>
                <w:rFonts w:ascii="Arial" w:cs="Arial" w:eastAsia="Arial" w:hAnsi="Arial"/>
                <w:sz w:val="18"/>
                <w:szCs w:val="18"/>
              </w:rPr>
              <w:t xml:space="preserve">Platform development, partnerships, healthcare integrations, ecosystem expansion</w:t>
            </w:r>
          </w:p>
        </w:tc>
      </w:tr>
      <w:tr>
        <w:tc>
          <w:tcPr>
            <w:tcW w:type="dxa" w:w="600"/>
            <w:tcBorders>
              <w:top w:val="single" w:color="CCCCCC" w:sz="1"/>
              <w:left w:val="single" w:color="CCCCCC" w:sz="1"/>
              <w:bottom w:val="single" w:color="CCCCCC" w:sz="1"/>
              <w:right w:val="single" w:color="CCCCCC" w:sz="1"/>
            </w:tcBorders>
            <w:shd w:fill="F0F8FF" w:val="clear"/>
            <w:tcMar>
              <w:top w:type="dxa" w:w="100"/>
              <w:left w:type="dxa" w:w="120"/>
              <w:bottom w:type="dxa" w:w="100"/>
              <w:right w:type="dxa" w:w="120"/>
            </w:tcMar>
            <w:vAlign w:val="center"/>
          </w:tcPr>
          <w:p>
            <w:pPr>
              <w:jc w:val="center"/>
            </w:pPr>
            <w:r>
              <w:rPr>
                <w:rFonts w:ascii="Arial" w:cs="Arial" w:eastAsia="Arial" w:hAnsi="Arial"/>
                <w:sz w:val="28"/>
                <w:szCs w:val="28"/>
              </w:rPr>
              <w:t xml:space="preserve">💧</w:t>
            </w:r>
          </w:p>
        </w:tc>
        <w:tc>
          <w:tcPr>
            <w:tcW w:type="dxa" w:w="2400"/>
            <w:tcBorders>
              <w:top w:val="single" w:color="CCCCCC" w:sz="1"/>
              <w:left w:val="single" w:color="CCCCCC" w:sz="1"/>
              <w:bottom w:val="single" w:color="CCCCCC" w:sz="1"/>
              <w:right w:val="single" w:color="CCCCCC" w:sz="1"/>
            </w:tcBorders>
            <w:shd w:fill="F0F8FF" w:val="clear"/>
            <w:tcMar>
              <w:top w:type="dxa" w:w="100"/>
              <w:left w:type="dxa" w:w="120"/>
              <w:bottom w:type="dxa" w:w="100"/>
              <w:right w:type="dxa" w:w="120"/>
            </w:tcMar>
          </w:tcPr>
          <w:p>
            <w:r>
              <w:rPr>
                <w:rFonts w:ascii="Arial" w:cs="Arial" w:eastAsia="Arial" w:hAnsi="Arial"/>
                <w:b/>
                <w:bCs/>
                <w:color w:val="1B2631"/>
                <w:sz w:val="20"/>
                <w:szCs w:val="20"/>
              </w:rPr>
              <w:t xml:space="preserve">Liquidity Pool</w:t>
            </w:r>
          </w:p>
        </w:tc>
        <w:tc>
          <w:tcPr>
            <w:tcW w:type="dxa" w:w="2200"/>
            <w:tcBorders>
              <w:top w:val="single" w:color="CCCCCC" w:sz="1"/>
              <w:left w:val="single" w:color="CCCCCC" w:sz="1"/>
              <w:bottom w:val="single" w:color="CCCCCC" w:sz="1"/>
              <w:right w:val="single" w:color="CCCCCC" w:sz="1"/>
            </w:tcBorders>
            <w:shd w:fill="F0F8FF" w:val="clear"/>
            <w:tcMar>
              <w:top w:type="dxa" w:w="100"/>
              <w:left w:type="dxa" w:w="120"/>
              <w:bottom w:type="dxa" w:w="100"/>
              <w:right w:type="dxa" w:w="120"/>
            </w:tcMar>
          </w:tcPr>
          <w:p>
            <w:pPr>
              <w:jc w:val="center"/>
            </w:pPr>
            <w:r>
              <w:rPr>
                <w:rFonts w:ascii="Arial" w:cs="Arial" w:eastAsia="Arial" w:hAnsi="Arial"/>
                <w:b/>
                <w:bCs/>
                <w:color w:val="1A5276"/>
                <w:sz w:val="20"/>
                <w:szCs w:val="20"/>
              </w:rPr>
              <w:t xml:space="preserve">11,000,000</w:t>
            </w:r>
          </w:p>
        </w:tc>
        <w:tc>
          <w:tcPr>
            <w:tcW w:type="dxa" w:w="800"/>
            <w:tcBorders>
              <w:top w:val="single" w:color="CCCCCC" w:sz="1"/>
              <w:left w:val="single" w:color="CCCCCC" w:sz="1"/>
              <w:bottom w:val="single" w:color="CCCCCC" w:sz="1"/>
              <w:right w:val="single" w:color="CCCCCC" w:sz="1"/>
            </w:tcBorders>
            <w:shd w:fill="F0F8FF" w:val="clear"/>
            <w:tcMar>
              <w:top w:type="dxa" w:w="100"/>
              <w:left w:type="dxa" w:w="80"/>
              <w:bottom w:type="dxa" w:w="100"/>
              <w:right w:type="dxa" w:w="80"/>
            </w:tcMar>
          </w:tcPr>
          <w:p>
            <w:pPr>
              <w:jc w:val="center"/>
            </w:pPr>
            <w:r>
              <w:rPr>
                <w:rFonts w:ascii="Arial" w:cs="Arial" w:eastAsia="Arial" w:hAnsi="Arial"/>
                <w:b/>
                <w:bCs/>
                <w:color w:val="2E86C1"/>
                <w:sz w:val="20"/>
                <w:szCs w:val="20"/>
              </w:rPr>
              <w:t xml:space="preserve">20%</w:t>
            </w:r>
          </w:p>
        </w:tc>
        <w:tc>
          <w:tcPr>
            <w:tcW w:type="dxa" w:w="3360"/>
            <w:tcBorders>
              <w:top w:val="single" w:color="CCCCCC" w:sz="1"/>
              <w:left w:val="single" w:color="CCCCCC" w:sz="1"/>
              <w:bottom w:val="single" w:color="CCCCCC" w:sz="1"/>
              <w:right w:val="single" w:color="CCCCCC" w:sz="1"/>
            </w:tcBorders>
            <w:shd w:fill="F0F8FF" w:val="clear"/>
            <w:tcMar>
              <w:top w:type="dxa" w:w="100"/>
              <w:left w:type="dxa" w:w="120"/>
              <w:bottom w:type="dxa" w:w="100"/>
              <w:right w:type="dxa" w:w="120"/>
            </w:tcMar>
          </w:tcPr>
          <w:p>
            <w:r>
              <w:rPr>
                <w:rFonts w:ascii="Arial" w:cs="Arial" w:eastAsia="Arial" w:hAnsi="Arial"/>
                <w:sz w:val="18"/>
                <w:szCs w:val="18"/>
              </w:rPr>
              <w:t xml:space="preserve">DEX/CEX listings, price stability, and smooth trading operations</w:t>
            </w:r>
          </w:p>
        </w:tc>
      </w:tr>
      <w:tr>
        <w:tc>
          <w:tcPr>
            <w:tcW w:type="dxa" w:w="600"/>
            <w:tcBorders>
              <w:top w:val="single" w:color="CCCCCC" w:sz="1"/>
              <w:left w:val="single" w:color="CCCCCC" w:sz="1"/>
              <w:bottom w:val="single" w:color="CCCCCC" w:sz="1"/>
              <w:right w:val="single" w:color="CCCCCC" w:sz="1"/>
            </w:tcBorders>
            <w:shd w:fill="F8F0FF" w:val="clear"/>
            <w:tcMar>
              <w:top w:type="dxa" w:w="100"/>
              <w:left w:type="dxa" w:w="120"/>
              <w:bottom w:type="dxa" w:w="100"/>
              <w:right w:type="dxa" w:w="120"/>
            </w:tcMar>
            <w:vAlign w:val="center"/>
          </w:tcPr>
          <w:p>
            <w:pPr>
              <w:jc w:val="center"/>
            </w:pPr>
            <w:r>
              <w:rPr>
                <w:rFonts w:ascii="Arial" w:cs="Arial" w:eastAsia="Arial" w:hAnsi="Arial"/>
                <w:sz w:val="28"/>
                <w:szCs w:val="28"/>
              </w:rPr>
              <w:t xml:space="preserve">🎁</w:t>
            </w:r>
          </w:p>
        </w:tc>
        <w:tc>
          <w:tcPr>
            <w:tcW w:type="dxa" w:w="2400"/>
            <w:tcBorders>
              <w:top w:val="single" w:color="CCCCCC" w:sz="1"/>
              <w:left w:val="single" w:color="CCCCCC" w:sz="1"/>
              <w:bottom w:val="single" w:color="CCCCCC" w:sz="1"/>
              <w:right w:val="single" w:color="CCCCCC" w:sz="1"/>
            </w:tcBorders>
            <w:shd w:fill="F8F0FF" w:val="clear"/>
            <w:tcMar>
              <w:top w:type="dxa" w:w="100"/>
              <w:left w:type="dxa" w:w="120"/>
              <w:bottom w:type="dxa" w:w="100"/>
              <w:right w:type="dxa" w:w="120"/>
            </w:tcMar>
          </w:tcPr>
          <w:p>
            <w:r>
              <w:rPr>
                <w:rFonts w:ascii="Arial" w:cs="Arial" w:eastAsia="Arial" w:hAnsi="Arial"/>
                <w:b/>
                <w:bCs/>
                <w:color w:val="1B2631"/>
                <w:sz w:val="20"/>
                <w:szCs w:val="20"/>
              </w:rPr>
              <w:t xml:space="preserve">Airdrop &amp; Community</w:t>
            </w:r>
          </w:p>
        </w:tc>
        <w:tc>
          <w:tcPr>
            <w:tcW w:type="dxa" w:w="2200"/>
            <w:tcBorders>
              <w:top w:val="single" w:color="CCCCCC" w:sz="1"/>
              <w:left w:val="single" w:color="CCCCCC" w:sz="1"/>
              <w:bottom w:val="single" w:color="CCCCCC" w:sz="1"/>
              <w:right w:val="single" w:color="CCCCCC" w:sz="1"/>
            </w:tcBorders>
            <w:shd w:fill="F8F0FF" w:val="clear"/>
            <w:tcMar>
              <w:top w:type="dxa" w:w="100"/>
              <w:left w:type="dxa" w:w="120"/>
              <w:bottom w:type="dxa" w:w="100"/>
              <w:right w:type="dxa" w:w="120"/>
            </w:tcMar>
          </w:tcPr>
          <w:p>
            <w:pPr>
              <w:jc w:val="center"/>
            </w:pPr>
            <w:r>
              <w:rPr>
                <w:rFonts w:ascii="Arial" w:cs="Arial" w:eastAsia="Arial" w:hAnsi="Arial"/>
                <w:b/>
                <w:bCs/>
                <w:color w:val="1A5276"/>
                <w:sz w:val="20"/>
                <w:szCs w:val="20"/>
              </w:rPr>
              <w:t xml:space="preserve">8,250,000</w:t>
            </w:r>
          </w:p>
        </w:tc>
        <w:tc>
          <w:tcPr>
            <w:tcW w:type="dxa" w:w="800"/>
            <w:tcBorders>
              <w:top w:val="single" w:color="CCCCCC" w:sz="1"/>
              <w:left w:val="single" w:color="CCCCCC" w:sz="1"/>
              <w:bottom w:val="single" w:color="CCCCCC" w:sz="1"/>
              <w:right w:val="single" w:color="CCCCCC" w:sz="1"/>
            </w:tcBorders>
            <w:shd w:fill="F8F0FF" w:val="clear"/>
            <w:tcMar>
              <w:top w:type="dxa" w:w="100"/>
              <w:left w:type="dxa" w:w="80"/>
              <w:bottom w:type="dxa" w:w="100"/>
              <w:right w:type="dxa" w:w="80"/>
            </w:tcMar>
          </w:tcPr>
          <w:p>
            <w:pPr>
              <w:jc w:val="center"/>
            </w:pPr>
            <w:r>
              <w:rPr>
                <w:rFonts w:ascii="Arial" w:cs="Arial" w:eastAsia="Arial" w:hAnsi="Arial"/>
                <w:b/>
                <w:bCs/>
                <w:color w:val="2E86C1"/>
                <w:sz w:val="20"/>
                <w:szCs w:val="20"/>
              </w:rPr>
              <w:t xml:space="preserve">15%</w:t>
            </w:r>
          </w:p>
        </w:tc>
        <w:tc>
          <w:tcPr>
            <w:tcW w:type="dxa" w:w="3360"/>
            <w:tcBorders>
              <w:top w:val="single" w:color="CCCCCC" w:sz="1"/>
              <w:left w:val="single" w:color="CCCCCC" w:sz="1"/>
              <w:bottom w:val="single" w:color="CCCCCC" w:sz="1"/>
              <w:right w:val="single" w:color="CCCCCC" w:sz="1"/>
            </w:tcBorders>
            <w:shd w:fill="F8F0FF" w:val="clear"/>
            <w:tcMar>
              <w:top w:type="dxa" w:w="100"/>
              <w:left w:type="dxa" w:w="120"/>
              <w:bottom w:type="dxa" w:w="100"/>
              <w:right w:type="dxa" w:w="120"/>
            </w:tcMar>
          </w:tcPr>
          <w:p>
            <w:r>
              <w:rPr>
                <w:rFonts w:ascii="Arial" w:cs="Arial" w:eastAsia="Arial" w:hAnsi="Arial"/>
                <w:sz w:val="18"/>
                <w:szCs w:val="18"/>
              </w:rPr>
              <w:t xml:space="preserve">Community onboarding, early supporters, awareness campaigns, engagement incentives</w:t>
            </w:r>
          </w:p>
        </w:tc>
      </w:tr>
      <w:tr>
        <w:tc>
          <w:tcPr>
            <w:tcW w:type="dxa" w:w="600"/>
            <w:tcBorders>
              <w:top w:val="single" w:color="CCCCCC" w:sz="1"/>
              <w:left w:val="single" w:color="CCCCCC" w:sz="1"/>
              <w:bottom w:val="single" w:color="CCCCCC" w:sz="1"/>
              <w:right w:val="single" w:color="CCCCCC" w:sz="1"/>
            </w:tcBorders>
            <w:shd w:fill="FFFFF0" w:val="clear"/>
            <w:tcMar>
              <w:top w:type="dxa" w:w="100"/>
              <w:left w:type="dxa" w:w="120"/>
              <w:bottom w:type="dxa" w:w="100"/>
              <w:right w:type="dxa" w:w="120"/>
            </w:tcMar>
            <w:vAlign w:val="center"/>
          </w:tcPr>
          <w:p>
            <w:pPr>
              <w:jc w:val="center"/>
            </w:pPr>
            <w:r>
              <w:rPr>
                <w:rFonts w:ascii="Arial" w:cs="Arial" w:eastAsia="Arial" w:hAnsi="Arial"/>
                <w:sz w:val="28"/>
                <w:szCs w:val="28"/>
              </w:rPr>
              <w:t xml:space="preserve">🚀</w:t>
            </w:r>
          </w:p>
        </w:tc>
        <w:tc>
          <w:tcPr>
            <w:tcW w:type="dxa" w:w="2400"/>
            <w:tcBorders>
              <w:top w:val="single" w:color="CCCCCC" w:sz="1"/>
              <w:left w:val="single" w:color="CCCCCC" w:sz="1"/>
              <w:bottom w:val="single" w:color="CCCCCC" w:sz="1"/>
              <w:right w:val="single" w:color="CCCCCC" w:sz="1"/>
            </w:tcBorders>
            <w:shd w:fill="FFFFF0" w:val="clear"/>
            <w:tcMar>
              <w:top w:type="dxa" w:w="100"/>
              <w:left w:type="dxa" w:w="120"/>
              <w:bottom w:type="dxa" w:w="100"/>
              <w:right w:type="dxa" w:w="120"/>
            </w:tcMar>
          </w:tcPr>
          <w:p>
            <w:r>
              <w:rPr>
                <w:rFonts w:ascii="Arial" w:cs="Arial" w:eastAsia="Arial" w:hAnsi="Arial"/>
                <w:b/>
                <w:bCs/>
                <w:color w:val="1B2631"/>
                <w:sz w:val="20"/>
                <w:szCs w:val="20"/>
              </w:rPr>
              <w:t xml:space="preserve">Presale / Public Sale</w:t>
            </w:r>
          </w:p>
        </w:tc>
        <w:tc>
          <w:tcPr>
            <w:tcW w:type="dxa" w:w="2200"/>
            <w:tcBorders>
              <w:top w:val="single" w:color="CCCCCC" w:sz="1"/>
              <w:left w:val="single" w:color="CCCCCC" w:sz="1"/>
              <w:bottom w:val="single" w:color="CCCCCC" w:sz="1"/>
              <w:right w:val="single" w:color="CCCCCC" w:sz="1"/>
            </w:tcBorders>
            <w:shd w:fill="FFFFF0" w:val="clear"/>
            <w:tcMar>
              <w:top w:type="dxa" w:w="100"/>
              <w:left w:type="dxa" w:w="120"/>
              <w:bottom w:type="dxa" w:w="100"/>
              <w:right w:type="dxa" w:w="120"/>
            </w:tcMar>
          </w:tcPr>
          <w:p>
            <w:pPr>
              <w:jc w:val="center"/>
            </w:pPr>
            <w:r>
              <w:rPr>
                <w:rFonts w:ascii="Arial" w:cs="Arial" w:eastAsia="Arial" w:hAnsi="Arial"/>
                <w:b/>
                <w:bCs/>
                <w:color w:val="1A5276"/>
                <w:sz w:val="20"/>
                <w:szCs w:val="20"/>
              </w:rPr>
              <w:t xml:space="preserve">5,500,000</w:t>
            </w:r>
          </w:p>
        </w:tc>
        <w:tc>
          <w:tcPr>
            <w:tcW w:type="dxa" w:w="800"/>
            <w:tcBorders>
              <w:top w:val="single" w:color="CCCCCC" w:sz="1"/>
              <w:left w:val="single" w:color="CCCCCC" w:sz="1"/>
              <w:bottom w:val="single" w:color="CCCCCC" w:sz="1"/>
              <w:right w:val="single" w:color="CCCCCC" w:sz="1"/>
            </w:tcBorders>
            <w:shd w:fill="FFFFF0" w:val="clear"/>
            <w:tcMar>
              <w:top w:type="dxa" w:w="100"/>
              <w:left w:type="dxa" w:w="80"/>
              <w:bottom w:type="dxa" w:w="100"/>
              <w:right w:type="dxa" w:w="80"/>
            </w:tcMar>
          </w:tcPr>
          <w:p>
            <w:pPr>
              <w:jc w:val="center"/>
            </w:pPr>
            <w:r>
              <w:rPr>
                <w:rFonts w:ascii="Arial" w:cs="Arial" w:eastAsia="Arial" w:hAnsi="Arial"/>
                <w:b/>
                <w:bCs/>
                <w:color w:val="2E86C1"/>
                <w:sz w:val="20"/>
                <w:szCs w:val="20"/>
              </w:rPr>
              <w:t xml:space="preserve">10%</w:t>
            </w:r>
          </w:p>
        </w:tc>
        <w:tc>
          <w:tcPr>
            <w:tcW w:type="dxa" w:w="3360"/>
            <w:tcBorders>
              <w:top w:val="single" w:color="CCCCCC" w:sz="1"/>
              <w:left w:val="single" w:color="CCCCCC" w:sz="1"/>
              <w:bottom w:val="single" w:color="CCCCCC" w:sz="1"/>
              <w:right w:val="single" w:color="CCCCCC" w:sz="1"/>
            </w:tcBorders>
            <w:shd w:fill="FFFFF0" w:val="clear"/>
            <w:tcMar>
              <w:top w:type="dxa" w:w="100"/>
              <w:left w:type="dxa" w:w="120"/>
              <w:bottom w:type="dxa" w:w="100"/>
              <w:right w:type="dxa" w:w="120"/>
            </w:tcMar>
          </w:tcPr>
          <w:p>
            <w:r>
              <w:rPr>
                <w:rFonts w:ascii="Arial" w:cs="Arial" w:eastAsia="Arial" w:hAnsi="Arial"/>
                <w:sz w:val="18"/>
                <w:szCs w:val="18"/>
              </w:rPr>
              <w:t xml:space="preserve">Early fundraising, investor participation, and project launch liquidity support</w:t>
            </w:r>
          </w:p>
        </w:tc>
      </w:tr>
    </w:tbl>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8.3 Circulating Supply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r>
              <w:rPr>
                <w:rFonts w:ascii="Arial" w:cs="Arial" w:eastAsia="Arial" w:hAnsi="Arial"/>
                <w:b/>
                <w:bCs/>
                <w:color w:val="1B2631"/>
                <w:sz w:val="22"/>
                <w:szCs w:val="22"/>
              </w:rPr>
              <w:t xml:space="preserve">Total Maximum Supply</w:t>
            </w:r>
          </w:p>
        </w:tc>
        <w:tc>
          <w:tcPr>
            <w:tcW w:type="dxa" w:w="4680"/>
            <w:tcBorders>
              <w:top w:val="single" w:color="CCCCCC" w:sz="1"/>
              <w:left w:val="single" w:color="CCCCCC" w:sz="1"/>
              <w:bottom w:val="single" w:color="CCCCCC" w:sz="1"/>
              <w:right w:val="single" w:color="CCCCCC" w:sz="1"/>
            </w:tcBorders>
            <w:shd w:fill="D6EAF8" w:val="clear"/>
            <w:tcMar>
              <w:top w:type="dxa" w:w="100"/>
              <w:left w:type="dxa" w:w="200"/>
              <w:bottom w:type="dxa" w:w="100"/>
              <w:right w:type="dxa" w:w="200"/>
            </w:tcMar>
          </w:tcPr>
          <w:p>
            <w:pPr>
              <w:jc w:val="right"/>
            </w:pPr>
            <w:r>
              <w:rPr>
                <w:rFonts w:ascii="Arial" w:cs="Arial" w:eastAsia="Arial" w:hAnsi="Arial"/>
                <w:b/>
                <w:bCs/>
                <w:color w:val="1A5276"/>
                <w:sz w:val="22"/>
                <w:szCs w:val="22"/>
              </w:rPr>
              <w:t xml:space="preserve">55,000,000 NATAL</w:t>
            </w:r>
          </w:p>
        </w:tc>
      </w:tr>
      <w:tr>
        <w:tc>
          <w:tcPr>
            <w:tcW w:type="dxa" w:w="4680"/>
            <w:tcBorders>
              <w:top w:val="single" w:color="CCCCCC" w:sz="1"/>
              <w:left w:val="single" w:color="CCCCCC" w:sz="1"/>
              <w:bottom w:val="single" w:color="CCCCCC" w:sz="1"/>
              <w:right w:val="single" w:color="CCCCCC" w:sz="1"/>
            </w:tcBorders>
            <w:tcMar>
              <w:top w:type="dxa" w:w="100"/>
              <w:left w:type="dxa" w:w="200"/>
              <w:bottom w:type="dxa" w:w="100"/>
              <w:right w:type="dxa" w:w="200"/>
            </w:tcMar>
          </w:tcPr>
          <w:p>
            <w:r>
              <w:rPr>
                <w:rFonts w:ascii="Arial" w:cs="Arial" w:eastAsia="Arial" w:hAnsi="Arial"/>
                <w:color w:val="CC0000"/>
                <w:sz w:val="22"/>
                <w:szCs w:val="22"/>
              </w:rPr>
              <w:t xml:space="preserve">Burned (Permanent Removal)</w:t>
            </w:r>
          </w:p>
        </w:tc>
        <w:tc>
          <w:tcPr>
            <w:tcW w:type="dxa" w:w="4680"/>
            <w:tcBorders>
              <w:top w:val="single" w:color="CCCCCC" w:sz="1"/>
              <w:left w:val="single" w:color="CCCCCC" w:sz="1"/>
              <w:bottom w:val="single" w:color="CCCCCC" w:sz="1"/>
              <w:right w:val="single" w:color="CCCCCC" w:sz="1"/>
            </w:tcBorders>
            <w:tcMar>
              <w:top w:type="dxa" w:w="100"/>
              <w:left w:type="dxa" w:w="200"/>
              <w:bottom w:type="dxa" w:w="100"/>
              <w:right w:type="dxa" w:w="200"/>
            </w:tcMar>
          </w:tcPr>
          <w:p>
            <w:pPr>
              <w:jc w:val="right"/>
            </w:pPr>
            <w:r>
              <w:rPr>
                <w:rFonts w:ascii="Arial" w:cs="Arial" w:eastAsia="Arial" w:hAnsi="Arial"/>
                <w:color w:val="CC0000"/>
                <w:sz w:val="22"/>
                <w:szCs w:val="22"/>
              </w:rPr>
              <w:t xml:space="preserve">11,000,000 NATAL (20%)</w:t>
            </w:r>
          </w:p>
        </w:tc>
      </w:tr>
      <w:tr>
        <w:tc>
          <w:tcPr>
            <w:tcW w:type="dxa" w:w="4680"/>
            <w:tcBorders>
              <w:top w:val="single" w:color="CCCCCC" w:sz="1"/>
              <w:left w:val="single" w:color="CCCCCC" w:sz="1"/>
              <w:bottom w:val="single" w:color="CCCCCC" w:sz="1"/>
              <w:right w:val="single" w:color="CCCCCC" w:sz="1"/>
            </w:tcBorders>
            <w:shd w:fill="D5F5E3" w:val="clear"/>
            <w:tcMar>
              <w:top w:type="dxa" w:w="100"/>
              <w:left w:type="dxa" w:w="200"/>
              <w:bottom w:type="dxa" w:w="100"/>
              <w:right w:type="dxa" w:w="200"/>
            </w:tcMar>
          </w:tcPr>
          <w:p>
            <w:r>
              <w:rPr>
                <w:rFonts w:ascii="Arial" w:cs="Arial" w:eastAsia="Arial" w:hAnsi="Arial"/>
                <w:b/>
                <w:bCs/>
                <w:color w:val="1A7A3F"/>
                <w:sz w:val="22"/>
                <w:szCs w:val="22"/>
              </w:rPr>
              <w:t xml:space="preserve">Remaining Circulating Allocation</w:t>
            </w:r>
          </w:p>
        </w:tc>
        <w:tc>
          <w:tcPr>
            <w:tcW w:type="dxa" w:w="4680"/>
            <w:tcBorders>
              <w:top w:val="single" w:color="CCCCCC" w:sz="1"/>
              <w:left w:val="single" w:color="CCCCCC" w:sz="1"/>
              <w:bottom w:val="single" w:color="CCCCCC" w:sz="1"/>
              <w:right w:val="single" w:color="CCCCCC" w:sz="1"/>
            </w:tcBorders>
            <w:shd w:fill="D5F5E3" w:val="clear"/>
            <w:tcMar>
              <w:top w:type="dxa" w:w="100"/>
              <w:left w:type="dxa" w:w="200"/>
              <w:bottom w:type="dxa" w:w="100"/>
              <w:right w:type="dxa" w:w="200"/>
            </w:tcMar>
          </w:tcPr>
          <w:p>
            <w:pPr>
              <w:jc w:val="right"/>
            </w:pPr>
            <w:r>
              <w:rPr>
                <w:rFonts w:ascii="Arial" w:cs="Arial" w:eastAsia="Arial" w:hAnsi="Arial"/>
                <w:b/>
                <w:bCs/>
                <w:color w:val="1A7A3F"/>
                <w:sz w:val="22"/>
                <w:szCs w:val="22"/>
              </w:rPr>
              <w:t xml:space="preserve">44,000,000 NATAL (80%)</w:t>
            </w:r>
          </w:p>
        </w:tc>
      </w:tr>
    </w:tbl>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8.4 Use of Funds</w:t>
      </w:r>
    </w:p>
    <w:p>
      <w:pPr>
        <w:spacing w:after="120" w:line="320"/>
        <w:jc w:val="both"/>
      </w:pPr>
      <w:r>
        <w:rPr>
          <w:rFonts w:ascii="Arial" w:cs="Arial" w:eastAsia="Arial" w:hAnsi="Arial"/>
          <w:sz w:val="22"/>
          <w:szCs w:val="22"/>
        </w:rPr>
        <w:t xml:space="preserve">Funds generated through Natal Token ecosystem activity are allocated directly to maternal health programs and infrastructure:</w:t>
      </w:r>
    </w:p>
    <w:p>
      <w:pPr>
        <w:spacing w:after="120"/>
      </w:pPr>
      <w:r>
        <w:t xml:space="preserve"/>
      </w:r>
    </w:p>
    <w:p>
      <w:pPr>
        <w:pStyle w:val="ListParagraph"/>
        <w:numPr>
          <w:ilvl w:val="0"/>
          <w:numId w:val="2"/>
        </w:numPr>
        <w:spacing w:after="80"/>
      </w:pPr>
      <w:r>
        <w:rPr>
          <w:rFonts w:ascii="Arial" w:cs="Arial" w:eastAsia="Arial" w:hAnsi="Arial"/>
          <w:sz w:val="22"/>
          <w:szCs w:val="22"/>
        </w:rPr>
        <w:t xml:space="preserve">Prenatal and antenatal care programs</w:t>
      </w:r>
    </w:p>
    <w:p>
      <w:pPr>
        <w:pStyle w:val="ListParagraph"/>
        <w:numPr>
          <w:ilvl w:val="0"/>
          <w:numId w:val="2"/>
        </w:numPr>
        <w:spacing w:after="80"/>
      </w:pPr>
      <w:r>
        <w:rPr>
          <w:rFonts w:ascii="Arial" w:cs="Arial" w:eastAsia="Arial" w:hAnsi="Arial"/>
          <w:sz w:val="22"/>
          <w:szCs w:val="22"/>
        </w:rPr>
        <w:t xml:space="preserve">Emergency maternal healthcare services</w:t>
      </w:r>
    </w:p>
    <w:p>
      <w:pPr>
        <w:pStyle w:val="ListParagraph"/>
        <w:numPr>
          <w:ilvl w:val="0"/>
          <w:numId w:val="2"/>
        </w:numPr>
        <w:spacing w:after="80"/>
      </w:pPr>
      <w:r>
        <w:rPr>
          <w:rFonts w:ascii="Arial" w:cs="Arial" w:eastAsia="Arial" w:hAnsi="Arial"/>
          <w:sz w:val="22"/>
          <w:szCs w:val="22"/>
        </w:rPr>
        <w:t xml:space="preserve">Health education initiatives and community training</w:t>
      </w:r>
    </w:p>
    <w:p>
      <w:pPr>
        <w:pStyle w:val="ListParagraph"/>
        <w:numPr>
          <w:ilvl w:val="0"/>
          <w:numId w:val="2"/>
        </w:numPr>
        <w:spacing w:after="80"/>
      </w:pPr>
      <w:r>
        <w:rPr>
          <w:rFonts w:ascii="Arial" w:cs="Arial" w:eastAsia="Arial" w:hAnsi="Arial"/>
          <w:sz w:val="22"/>
          <w:szCs w:val="22"/>
        </w:rPr>
        <w:t xml:space="preserve">Rural healthcare infrastructure development</w:t>
      </w:r>
    </w:p>
    <w:p>
      <w:pPr>
        <w:pStyle w:val="ListParagraph"/>
        <w:numPr>
          <w:ilvl w:val="0"/>
          <w:numId w:val="2"/>
        </w:numPr>
        <w:spacing w:after="80"/>
      </w:pPr>
      <w:r>
        <w:rPr>
          <w:rFonts w:ascii="Arial" w:cs="Arial" w:eastAsia="Arial" w:hAnsi="Arial"/>
          <w:sz w:val="22"/>
          <w:szCs w:val="22"/>
        </w:rPr>
        <w:t xml:space="preserve">Maternal nutrition support programs</w:t>
      </w:r>
    </w:p>
    <w:p>
      <w:pPr>
        <w:pStyle w:val="ListParagraph"/>
        <w:numPr>
          <w:ilvl w:val="0"/>
          <w:numId w:val="2"/>
        </w:numPr>
        <w:spacing w:after="80"/>
      </w:pPr>
      <w:r>
        <w:rPr>
          <w:rFonts w:ascii="Arial" w:cs="Arial" w:eastAsia="Arial" w:hAnsi="Arial"/>
          <w:sz w:val="22"/>
          <w:szCs w:val="22"/>
        </w:rPr>
        <w:t xml:space="preserve">Digital health system development and maintenance</w:t>
      </w:r>
    </w:p>
    <w:p>
      <w:pPr>
        <w:spacing w:after="120"/>
      </w:pPr>
      <w:r>
        <w:t xml:space="preserve"/>
      </w:r>
    </w:p>
    <w:p>
      <w:pPr>
        <w:pStyle w:val="Heading1"/>
        <w:shd w:fill="1A5276" w:val="clear"/>
        <w:spacing w:after="180" w:before="360"/>
        <w:ind w:left="240" w:right="240"/>
      </w:pPr>
      <w:r>
        <w:rPr>
          <w:rFonts w:ascii="Arial" w:cs="Arial" w:eastAsia="Arial" w:hAnsi="Arial"/>
          <w:b/>
          <w:bCs/>
          <w:color w:val="FFFFFF"/>
          <w:sz w:val="36"/>
          <w:szCs w:val="36"/>
        </w:rPr>
        <w:t xml:space="preserve">9. Security &amp; Compliance</w:t>
      </w:r>
    </w:p>
    <w:p>
      <w:pPr>
        <w:spacing w:after="120"/>
      </w:pPr>
      <w:r>
        <w:t xml:space="preserve"/>
      </w:r>
    </w:p>
    <w:p>
      <w:pPr>
        <w:spacing w:after="120" w:line="320"/>
        <w:jc w:val="both"/>
      </w:pPr>
      <w:r>
        <w:rPr>
          <w:rFonts w:ascii="Arial" w:cs="Arial" w:eastAsia="Arial" w:hAnsi="Arial"/>
          <w:sz w:val="22"/>
          <w:szCs w:val="22"/>
        </w:rPr>
        <w:t xml:space="preserve">Natal Token prioritizes security and regulatory compliance across all ecosystem operations. Trust, safety, and reliability are foundational requirements for participation in the maternal health ecosystem.</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Security Measures</w:t>
      </w:r>
    </w:p>
    <w:p>
      <w:pPr>
        <w:pStyle w:val="ListParagraph"/>
        <w:numPr>
          <w:ilvl w:val="0"/>
          <w:numId w:val="2"/>
        </w:numPr>
        <w:spacing w:after="80"/>
      </w:pPr>
      <w:r>
        <w:rPr>
          <w:rFonts w:ascii="Arial" w:cs="Arial" w:eastAsia="Arial" w:hAnsi="Arial"/>
          <w:sz w:val="22"/>
          <w:szCs w:val="22"/>
        </w:rPr>
        <w:t xml:space="preserve">Comprehensive smart contract audits by independent third-party firms</w:t>
      </w:r>
    </w:p>
    <w:p>
      <w:pPr>
        <w:pStyle w:val="ListParagraph"/>
        <w:numPr>
          <w:ilvl w:val="0"/>
          <w:numId w:val="2"/>
        </w:numPr>
        <w:spacing w:after="80"/>
      </w:pPr>
      <w:r>
        <w:rPr>
          <w:rFonts w:ascii="Arial" w:cs="Arial" w:eastAsia="Arial" w:hAnsi="Arial"/>
          <w:sz w:val="22"/>
          <w:szCs w:val="22"/>
        </w:rPr>
        <w:t xml:space="preserve">Secure multi-signature wallet infrastructure</w:t>
      </w:r>
    </w:p>
    <w:p>
      <w:pPr>
        <w:pStyle w:val="ListParagraph"/>
        <w:numPr>
          <w:ilvl w:val="0"/>
          <w:numId w:val="2"/>
        </w:numPr>
        <w:spacing w:after="80"/>
      </w:pPr>
      <w:r>
        <w:rPr>
          <w:rFonts w:ascii="Arial" w:cs="Arial" w:eastAsia="Arial" w:hAnsi="Arial"/>
          <w:sz w:val="22"/>
          <w:szCs w:val="22"/>
        </w:rPr>
        <w:t xml:space="preserve">Industry-standard data encryption protocols</w:t>
      </w:r>
    </w:p>
    <w:p>
      <w:pPr>
        <w:pStyle w:val="ListParagraph"/>
        <w:numPr>
          <w:ilvl w:val="0"/>
          <w:numId w:val="2"/>
        </w:numPr>
        <w:spacing w:after="80"/>
      </w:pPr>
      <w:r>
        <w:rPr>
          <w:rFonts w:ascii="Arial" w:cs="Arial" w:eastAsia="Arial" w:hAnsi="Arial"/>
          <w:sz w:val="22"/>
          <w:szCs w:val="22"/>
        </w:rPr>
        <w:t xml:space="preserve">Transparent on-chain transaction monitoring</w:t>
      </w:r>
    </w:p>
    <w:p>
      <w:pPr>
        <w:pStyle w:val="ListParagraph"/>
        <w:numPr>
          <w:ilvl w:val="0"/>
          <w:numId w:val="2"/>
        </w:numPr>
        <w:spacing w:after="80"/>
      </w:pPr>
      <w:r>
        <w:rPr>
          <w:rFonts w:ascii="Arial" w:cs="Arial" w:eastAsia="Arial" w:hAnsi="Arial"/>
          <w:sz w:val="22"/>
          <w:szCs w:val="22"/>
        </w:rPr>
        <w:t xml:space="preserve">Regulatory alignment with applicable blockchain frameworks</w:t>
      </w:r>
    </w:p>
    <w:p>
      <w:pPr>
        <w:spacing w:after="120"/>
      </w:pPr>
      <w:r>
        <w:t xml:space="preserve"/>
      </w:r>
    </w:p>
    <w:p>
      <w:pPr>
        <w:spacing w:after="120" w:line="320"/>
        <w:jc w:val="both"/>
      </w:pPr>
      <w:r>
        <w:rPr>
          <w:rFonts w:ascii="Arial" w:cs="Arial" w:eastAsia="Arial" w:hAnsi="Arial"/>
          <w:sz w:val="22"/>
          <w:szCs w:val="22"/>
        </w:rPr>
        <w:t xml:space="preserve">All token vesting, distribution, and burn mechanisms are enforced on-chain through immutable smart contracts — eliminating the possibility of unilateral fund misappropriation.</w:t>
      </w:r>
    </w:p>
    <w:p>
      <w:pPr>
        <w:spacing w:after="120"/>
      </w:pPr>
      <w:r>
        <w:t xml:space="preserve"/>
      </w:r>
    </w:p>
    <w:p>
      <w:pPr>
        <w:pStyle w:val="Heading1"/>
        <w:shd w:fill="1A5276" w:val="clear"/>
        <w:spacing w:after="180" w:before="360"/>
        <w:ind w:left="240" w:right="240"/>
      </w:pPr>
      <w:r>
        <w:rPr>
          <w:rFonts w:ascii="Arial" w:cs="Arial" w:eastAsia="Arial" w:hAnsi="Arial"/>
          <w:b/>
          <w:bCs/>
          <w:color w:val="FFFFFF"/>
          <w:sz w:val="36"/>
          <w:szCs w:val="36"/>
        </w:rPr>
        <w:t xml:space="preserve">10. Development Roadmap</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Phase 1 — Foundation</w:t>
      </w:r>
    </w:p>
    <w:p>
      <w:pPr>
        <w:pStyle w:val="ListParagraph"/>
        <w:numPr>
          <w:ilvl w:val="0"/>
          <w:numId w:val="2"/>
        </w:numPr>
        <w:spacing w:after="80"/>
      </w:pPr>
      <w:r>
        <w:rPr>
          <w:rFonts w:ascii="Arial" w:cs="Arial" w:eastAsia="Arial" w:hAnsi="Arial"/>
          <w:sz w:val="22"/>
          <w:szCs w:val="22"/>
        </w:rPr>
        <w:t xml:space="preserve">Token deployment on Binance Smart Chain</w:t>
      </w:r>
    </w:p>
    <w:p>
      <w:pPr>
        <w:pStyle w:val="ListParagraph"/>
        <w:numPr>
          <w:ilvl w:val="0"/>
          <w:numId w:val="2"/>
        </w:numPr>
        <w:spacing w:after="80"/>
      </w:pPr>
      <w:r>
        <w:rPr>
          <w:rFonts w:ascii="Arial" w:cs="Arial" w:eastAsia="Arial" w:hAnsi="Arial"/>
          <w:sz w:val="22"/>
          <w:szCs w:val="22"/>
        </w:rPr>
        <w:t xml:space="preserve">Smart contract development and audit</w:t>
      </w:r>
    </w:p>
    <w:p>
      <w:pPr>
        <w:pStyle w:val="ListParagraph"/>
        <w:numPr>
          <w:ilvl w:val="0"/>
          <w:numId w:val="2"/>
        </w:numPr>
        <w:spacing w:after="80"/>
      </w:pPr>
      <w:r>
        <w:rPr>
          <w:rFonts w:ascii="Arial" w:cs="Arial" w:eastAsia="Arial" w:hAnsi="Arial"/>
          <w:sz w:val="22"/>
          <w:szCs w:val="22"/>
        </w:rPr>
        <w:t xml:space="preserve">Initial community building and awareness campaigns</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Phase 2 — Ecosystem Development</w:t>
      </w:r>
    </w:p>
    <w:p>
      <w:pPr>
        <w:pStyle w:val="ListParagraph"/>
        <w:numPr>
          <w:ilvl w:val="0"/>
          <w:numId w:val="2"/>
        </w:numPr>
        <w:spacing w:after="80"/>
      </w:pPr>
      <w:r>
        <w:rPr>
          <w:rFonts w:ascii="Arial" w:cs="Arial" w:eastAsia="Arial" w:hAnsi="Arial"/>
          <w:sz w:val="22"/>
          <w:szCs w:val="22"/>
        </w:rPr>
        <w:t xml:space="preserve">Launch NST governance system</w:t>
      </w:r>
    </w:p>
    <w:p>
      <w:pPr>
        <w:pStyle w:val="ListParagraph"/>
        <w:numPr>
          <w:ilvl w:val="0"/>
          <w:numId w:val="2"/>
        </w:numPr>
        <w:spacing w:after="80"/>
      </w:pPr>
      <w:r>
        <w:rPr>
          <w:rFonts w:ascii="Arial" w:cs="Arial" w:eastAsia="Arial" w:hAnsi="Arial"/>
          <w:sz w:val="22"/>
          <w:szCs w:val="22"/>
        </w:rPr>
        <w:t xml:space="preserve">Integrate healthcare institution partnerships</w:t>
      </w:r>
    </w:p>
    <w:p>
      <w:pPr>
        <w:pStyle w:val="ListParagraph"/>
        <w:numPr>
          <w:ilvl w:val="0"/>
          <w:numId w:val="2"/>
        </w:numPr>
        <w:spacing w:after="80"/>
      </w:pPr>
      <w:r>
        <w:rPr>
          <w:rFonts w:ascii="Arial" w:cs="Arial" w:eastAsia="Arial" w:hAnsi="Arial"/>
          <w:sz w:val="22"/>
          <w:szCs w:val="22"/>
        </w:rPr>
        <w:t xml:space="preserve">Begin funding first cohort of maternal health projects</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Phase 3 — Expansion</w:t>
      </w:r>
    </w:p>
    <w:p>
      <w:pPr>
        <w:pStyle w:val="ListParagraph"/>
        <w:numPr>
          <w:ilvl w:val="0"/>
          <w:numId w:val="2"/>
        </w:numPr>
        <w:spacing w:after="80"/>
      </w:pPr>
      <w:r>
        <w:rPr>
          <w:rFonts w:ascii="Arial" w:cs="Arial" w:eastAsia="Arial" w:hAnsi="Arial"/>
          <w:sz w:val="22"/>
          <w:szCs w:val="22"/>
        </w:rPr>
        <w:t xml:space="preserve">Scale global healthcare partnerships</w:t>
      </w:r>
    </w:p>
    <w:p>
      <w:pPr>
        <w:pStyle w:val="ListParagraph"/>
        <w:numPr>
          <w:ilvl w:val="0"/>
          <w:numId w:val="2"/>
        </w:numPr>
        <w:spacing w:after="80"/>
      </w:pPr>
      <w:r>
        <w:rPr>
          <w:rFonts w:ascii="Arial" w:cs="Arial" w:eastAsia="Arial" w:hAnsi="Arial"/>
          <w:sz w:val="22"/>
          <w:szCs w:val="22"/>
        </w:rPr>
        <w:t xml:space="preserve">Expand healthcare provider incentive network</w:t>
      </w:r>
    </w:p>
    <w:p>
      <w:pPr>
        <w:pStyle w:val="ListParagraph"/>
        <w:numPr>
          <w:ilvl w:val="0"/>
          <w:numId w:val="2"/>
        </w:numPr>
        <w:spacing w:after="80"/>
      </w:pPr>
      <w:r>
        <w:rPr>
          <w:rFonts w:ascii="Arial" w:cs="Arial" w:eastAsia="Arial" w:hAnsi="Arial"/>
          <w:sz w:val="22"/>
          <w:szCs w:val="22"/>
        </w:rPr>
        <w:t xml:space="preserve">Deploy maternal health applications on-chain</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Phase 4 — Global Adoption</w:t>
      </w:r>
    </w:p>
    <w:p>
      <w:pPr>
        <w:pStyle w:val="ListParagraph"/>
        <w:numPr>
          <w:ilvl w:val="0"/>
          <w:numId w:val="2"/>
        </w:numPr>
        <w:spacing w:after="80"/>
      </w:pPr>
      <w:r>
        <w:rPr>
          <w:rFonts w:ascii="Arial" w:cs="Arial" w:eastAsia="Arial" w:hAnsi="Arial"/>
          <w:sz w:val="22"/>
          <w:szCs w:val="22"/>
        </w:rPr>
        <w:t xml:space="preserve">Cross-border healthcare integration</w:t>
      </w:r>
    </w:p>
    <w:p>
      <w:pPr>
        <w:pStyle w:val="ListParagraph"/>
        <w:numPr>
          <w:ilvl w:val="0"/>
          <w:numId w:val="2"/>
        </w:numPr>
        <w:spacing w:after="80"/>
      </w:pPr>
      <w:r>
        <w:rPr>
          <w:rFonts w:ascii="Arial" w:cs="Arial" w:eastAsia="Arial" w:hAnsi="Arial"/>
          <w:sz w:val="22"/>
          <w:szCs w:val="22"/>
        </w:rPr>
        <w:t xml:space="preserve">Large-scale maternal health funding operations</w:t>
      </w:r>
    </w:p>
    <w:p>
      <w:pPr>
        <w:pStyle w:val="ListParagraph"/>
        <w:numPr>
          <w:ilvl w:val="0"/>
          <w:numId w:val="2"/>
        </w:numPr>
        <w:spacing w:after="80"/>
      </w:pPr>
      <w:r>
        <w:rPr>
          <w:rFonts w:ascii="Arial" w:cs="Arial" w:eastAsia="Arial" w:hAnsi="Arial"/>
          <w:sz w:val="22"/>
          <w:szCs w:val="22"/>
        </w:rPr>
        <w:t xml:space="preserve">Full decentralized governance activation</w:t>
      </w:r>
    </w:p>
    <w:p>
      <w:pPr>
        <w:spacing w:after="120"/>
      </w:pPr>
      <w:r>
        <w:t xml:space="preserve"/>
      </w:r>
    </w:p>
    <w:p>
      <w:pPr>
        <w:pStyle w:val="Heading1"/>
        <w:shd w:fill="1A5276" w:val="clear"/>
        <w:spacing w:after="180" w:before="360"/>
        <w:ind w:left="240" w:right="240"/>
      </w:pPr>
      <w:r>
        <w:rPr>
          <w:rFonts w:ascii="Arial" w:cs="Arial" w:eastAsia="Arial" w:hAnsi="Arial"/>
          <w:b/>
          <w:bCs/>
          <w:color w:val="FFFFFF"/>
          <w:sz w:val="36"/>
          <w:szCs w:val="36"/>
        </w:rPr>
        <w:t xml:space="preserve">11. Partnerships &amp; Collaborations</w:t>
      </w:r>
    </w:p>
    <w:p>
      <w:pPr>
        <w:spacing w:after="120"/>
      </w:pPr>
      <w:r>
        <w:t xml:space="preserve"/>
      </w:r>
    </w:p>
    <w:p>
      <w:pPr>
        <w:spacing w:after="120" w:line="320"/>
        <w:jc w:val="both"/>
      </w:pPr>
      <w:r>
        <w:rPr>
          <w:rFonts w:ascii="Arial" w:cs="Arial" w:eastAsia="Arial" w:hAnsi="Arial"/>
          <w:sz w:val="22"/>
          <w:szCs w:val="22"/>
        </w:rPr>
        <w:t xml:space="preserve">Natal Token actively cultivates partnerships with institutions and organizations whose mandates align with maternal health improvement. These collaborations enhance the credibility, reach, and real-world impact of the ecosystem.</w:t>
      </w:r>
    </w:p>
    <w:p>
      <w:pPr>
        <w:spacing w:after="120"/>
      </w:pPr>
      <w:r>
        <w:t xml:space="preserve"/>
      </w:r>
    </w:p>
    <w:p>
      <w:pPr>
        <w:pStyle w:val="Heading2"/>
        <w:pBdr>
          <w:bottom w:val="single" w:color="2E86C1" w:sz="4"/>
        </w:pBdr>
        <w:spacing w:after="140" w:before="280"/>
      </w:pPr>
      <w:r>
        <w:rPr>
          <w:rFonts w:ascii="Arial" w:cs="Arial" w:eastAsia="Arial" w:hAnsi="Arial"/>
          <w:b/>
          <w:bCs/>
          <w:color w:val="1A5276"/>
          <w:sz w:val="28"/>
          <w:szCs w:val="28"/>
        </w:rPr>
        <w:t xml:space="preserve">Target Partnership Categories</w:t>
      </w:r>
    </w:p>
    <w:p>
      <w:pPr>
        <w:pStyle w:val="ListParagraph"/>
        <w:numPr>
          <w:ilvl w:val="0"/>
          <w:numId w:val="2"/>
        </w:numPr>
        <w:spacing w:after="80"/>
      </w:pPr>
      <w:r>
        <w:rPr>
          <w:rFonts w:ascii="Arial" w:cs="Arial" w:eastAsia="Arial" w:hAnsi="Arial"/>
          <w:sz w:val="22"/>
          <w:szCs w:val="22"/>
        </w:rPr>
        <w:t xml:space="preserve">Hospitals, clinics, and maternal health facilities</w:t>
      </w:r>
    </w:p>
    <w:p>
      <w:pPr>
        <w:pStyle w:val="ListParagraph"/>
        <w:numPr>
          <w:ilvl w:val="0"/>
          <w:numId w:val="2"/>
        </w:numPr>
        <w:spacing w:after="80"/>
      </w:pPr>
      <w:r>
        <w:rPr>
          <w:rFonts w:ascii="Arial" w:cs="Arial" w:eastAsia="Arial" w:hAnsi="Arial"/>
          <w:sz w:val="22"/>
          <w:szCs w:val="22"/>
        </w:rPr>
        <w:t xml:space="preserve">Maternal and reproductive health NGOs</w:t>
      </w:r>
    </w:p>
    <w:p>
      <w:pPr>
        <w:pStyle w:val="ListParagraph"/>
        <w:numPr>
          <w:ilvl w:val="0"/>
          <w:numId w:val="2"/>
        </w:numPr>
        <w:spacing w:after="80"/>
      </w:pPr>
      <w:r>
        <w:rPr>
          <w:rFonts w:ascii="Arial" w:cs="Arial" w:eastAsia="Arial" w:hAnsi="Arial"/>
          <w:sz w:val="22"/>
          <w:szCs w:val="22"/>
        </w:rPr>
        <w:t xml:space="preserve">Academic research institutions and public health schools</w:t>
      </w:r>
    </w:p>
    <w:p>
      <w:pPr>
        <w:pStyle w:val="ListParagraph"/>
        <w:numPr>
          <w:ilvl w:val="0"/>
          <w:numId w:val="2"/>
        </w:numPr>
        <w:spacing w:after="80"/>
      </w:pPr>
      <w:r>
        <w:rPr>
          <w:rFonts w:ascii="Arial" w:cs="Arial" w:eastAsia="Arial" w:hAnsi="Arial"/>
          <w:sz w:val="22"/>
          <w:szCs w:val="22"/>
        </w:rPr>
        <w:t xml:space="preserve">Government health agencies and ministries of health</w:t>
      </w:r>
    </w:p>
    <w:p>
      <w:pPr>
        <w:pStyle w:val="ListParagraph"/>
        <w:numPr>
          <w:ilvl w:val="0"/>
          <w:numId w:val="2"/>
        </w:numPr>
        <w:spacing w:after="80"/>
      </w:pPr>
      <w:r>
        <w:rPr>
          <w:rFonts w:ascii="Arial" w:cs="Arial" w:eastAsia="Arial" w:hAnsi="Arial"/>
          <w:sz w:val="22"/>
          <w:szCs w:val="22"/>
        </w:rPr>
        <w:t xml:space="preserve">Health technology companies and digital health platforms</w:t>
      </w:r>
    </w:p>
    <w:p>
      <w:pPr>
        <w:spacing w:after="120"/>
      </w:pPr>
      <w:r>
        <w:t xml:space="preserve"/>
      </w:r>
    </w:p>
    <w:p>
      <w:pPr>
        <w:pStyle w:val="Heading1"/>
        <w:shd w:fill="1A5276" w:val="clear"/>
        <w:spacing w:after="180" w:before="360"/>
        <w:ind w:left="240" w:right="240"/>
      </w:pPr>
      <w:r>
        <w:rPr>
          <w:rFonts w:ascii="Arial" w:cs="Arial" w:eastAsia="Arial" w:hAnsi="Arial"/>
          <w:b/>
          <w:bCs/>
          <w:color w:val="FFFFFF"/>
          <w:sz w:val="36"/>
          <w:szCs w:val="36"/>
        </w:rPr>
        <w:t xml:space="preserve">12. Future Outlook</w:t>
      </w:r>
    </w:p>
    <w:p>
      <w:pPr>
        <w:spacing w:after="120"/>
      </w:pPr>
      <w:r>
        <w:t xml:space="preserve"/>
      </w:r>
    </w:p>
    <w:p>
      <w:pPr>
        <w:spacing w:after="120" w:line="320"/>
        <w:jc w:val="both"/>
      </w:pPr>
      <w:r>
        <w:rPr>
          <w:rFonts w:ascii="Arial" w:cs="Arial" w:eastAsia="Arial" w:hAnsi="Arial"/>
          <w:sz w:val="22"/>
          <w:szCs w:val="22"/>
        </w:rPr>
        <w:t xml:space="preserve">Natal Token envisions a future where no woman dies due to preventable childbirth complications, where maternal healthcare is universally accessible regardless of geography or income, and where communities actively participate in health governance. Blockchain technology is poised to become a foundational standard for health financing in the 21st century — and Natal Token is positioned at the vanguard of that transformation.</w:t>
      </w:r>
    </w:p>
    <w:p>
      <w:pPr>
        <w:spacing w:after="120"/>
      </w:pPr>
      <w:r>
        <w:t xml:space="preserve"/>
      </w:r>
    </w:p>
    <w:p>
      <w:pPr>
        <w:spacing w:after="120" w:line="320"/>
        <w:jc w:val="both"/>
      </w:pPr>
      <w:r>
        <w:rPr>
          <w:rFonts w:ascii="Arial" w:cs="Arial" w:eastAsia="Arial" w:hAnsi="Arial"/>
          <w:sz w:val="22"/>
          <w:szCs w:val="22"/>
        </w:rPr>
        <w:t xml:space="preserve">The long-term goal is to establish a globally recognized maternal health funding infrastructure powered by decentralized technology — making Natal Token synonymous with maternal health innovation and impact.</w:t>
      </w:r>
    </w:p>
    <w:p>
      <w:pPr>
        <w:spacing w:after="120"/>
      </w:pPr>
      <w:r>
        <w:t xml:space="preserve"/>
      </w:r>
    </w:p>
    <w:p>
      <w:pPr>
        <w:pStyle w:val="Heading1"/>
        <w:shd w:fill="1A5276" w:val="clear"/>
        <w:spacing w:after="180" w:before="360"/>
        <w:ind w:left="240" w:right="240"/>
      </w:pPr>
      <w:r>
        <w:rPr>
          <w:rFonts w:ascii="Arial" w:cs="Arial" w:eastAsia="Arial" w:hAnsi="Arial"/>
          <w:b/>
          <w:bCs/>
          <w:color w:val="FFFFFF"/>
          <w:sz w:val="36"/>
          <w:szCs w:val="36"/>
        </w:rPr>
        <w:t xml:space="preserve">13. Conclusion</w:t>
      </w:r>
    </w:p>
    <w:p>
      <w:pPr>
        <w:spacing w:after="120"/>
      </w:pPr>
      <w:r>
        <w:t xml:space="preserve"/>
      </w:r>
    </w:p>
    <w:p>
      <w:pPr>
        <w:spacing w:after="120" w:line="320"/>
        <w:jc w:val="both"/>
      </w:pPr>
      <w:r>
        <w:rPr>
          <w:rFonts w:ascii="Arial" w:cs="Arial" w:eastAsia="Arial" w:hAnsi="Arial"/>
          <w:sz w:val="22"/>
          <w:szCs w:val="22"/>
        </w:rPr>
        <w:t xml:space="preserve">Natal Token represents a new paradigm in maternal healthcare financing and delivery. By combining blockchain technology, decentralized governance, and tokenized incentives within a fixed-supply model of 55,000,000 NATAL tokens, it creates a system where healthcare funding is transparent, efficient, and directly impactful.</w:t>
      </w:r>
    </w:p>
    <w:p>
      <w:pPr>
        <w:spacing w:after="120"/>
      </w:pPr>
      <w:r>
        <w:t xml:space="preserve"/>
      </w:r>
    </w:p>
    <w:p>
      <w:pPr>
        <w:spacing w:after="120" w:line="320"/>
        <w:jc w:val="both"/>
      </w:pPr>
      <w:r>
        <w:rPr>
          <w:rFonts w:ascii="Arial" w:cs="Arial" w:eastAsia="Arial" w:hAnsi="Arial"/>
          <w:sz w:val="22"/>
          <w:szCs w:val="22"/>
        </w:rPr>
        <w:t xml:space="preserve">Through its ecosystem, Natal Token aims to reduce maternal mortality, improve prenatal care access, and empower communities to actively participate in healthcare transformation. The scarcity-backed supply model ensures that every NATAL token is not just a unit of value — it is a stake in one of the most important humanitarian missions of our time.</w:t>
      </w:r>
    </w:p>
    <w:p>
      <w:pPr>
        <w:spacing w:after="120"/>
      </w:pPr>
      <w:r>
        <w:t xml:space="preserve"/>
      </w:r>
    </w:p>
    <w:p>
      <w:pPr>
        <w:pBdr>
          <w:bottom w:val="single" w:color="2E86C1" w:sz="4" w:space="1"/>
        </w:pBdr>
        <w:spacing w:after="200" w:before="200"/>
      </w:pPr>
      <w:r>
        <w:t xml:space="preserve"/>
      </w:r>
    </w:p>
    <w:p>
      <w:pPr>
        <w:spacing w:after="200" w:before="200"/>
        <w:jc w:val="center"/>
      </w:pPr>
      <w:r>
        <w:rPr>
          <w:rFonts w:ascii="Arial" w:cs="Arial" w:eastAsia="Arial" w:hAnsi="Arial"/>
          <w:b/>
          <w:bCs/>
          <w:i/>
          <w:iCs/>
          <w:color w:val="1A5276"/>
          <w:sz w:val="24"/>
          <w:szCs w:val="24"/>
        </w:rPr>
        <w:t xml:space="preserve">Natal Token is not just a cryptocurrency — it is a decentralized maternal health revolution.</w:t>
      </w:r>
    </w:p>
    <w:p>
      <w:pPr>
        <w:pBdr>
          <w:bottom w:val="single" w:color="2E86C1" w:sz="4" w:space="1"/>
        </w:pBdr>
        <w:spacing w:after="200" w:before="200"/>
      </w:pPr>
      <w:r>
        <w:t xml:space="preserve"/>
      </w:r>
    </w:p>
    <w:p>
      <w:pPr>
        <w:spacing w:after="120"/>
      </w:pPr>
      <w:r>
        <w:t xml:space="preserve"/>
      </w:r>
    </w:p>
    <w:p>
      <w:pPr>
        <w:jc w:val="center"/>
      </w:pPr>
      <w:r>
        <w:rPr>
          <w:rFonts w:ascii="Arial" w:cs="Arial" w:eastAsia="Arial" w:hAnsi="Arial"/>
          <w:color w:val="888888"/>
          <w:sz w:val="18"/>
          <w:szCs w:val="18"/>
        </w:rPr>
        <w:t xml:space="preserve">NATAL Token | Version 1.0 | Total Supply: 55,000,000 NATAL | Binance Smart Chain (BEP-20)</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6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0bcceff3ad8988a0297440992be678afa7e51c2.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2026-05-01T17:30:35.215Z</dcterms:created>
  <dcterms:modified xsi:type="dcterms:W3CDTF">2026-05-01T17:30:35.216Z</dcterms:modified>
</cp:coreProperties>
</file>

<file path=docProps/custom.xml><?xml version="1.0" encoding="utf-8"?>
<Properties xmlns="http://schemas.openxmlformats.org/officeDocument/2006/custom-properties" xmlns:vt="http://schemas.openxmlformats.org/officeDocument/2006/docPropsVTypes"/>
</file>