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Note Technique - P8 OpenClassroom</w:t>
      </w:r>
    </w:p>
    <w:p>
      <w:pPr>
        <w:jc w:val="center"/>
      </w:pPr>
      <w:r>
        <w:rPr>
          <w:b w:val="0"/>
          <w:sz w:val="24"/>
        </w:rPr>
        <w:t>Segmentation sémantique de scènes urbaines (Cityscapes, 8 classes)</w:t>
        <w:br/>
        <w:t>Modèle, pipeline, API et application de démonstration</w:t>
      </w:r>
    </w:p>
    <w:p/>
    <w:p>
      <w:pPr>
        <w:pStyle w:val="Heading2"/>
      </w:pPr>
      <w:r>
        <w:t>Résumé</w:t>
      </w:r>
    </w:p>
    <w:p>
      <w:r>
        <w:t>Cette note présente la démarche retenue pour construire un premier modèle de segmentation sémantique dans le cadre du projet P8. L'objectif est d'intégrer un composant de segmentation (Keras) dans une chaîne de vision par ordinateur embarquée, puis d'exposer ce modèle via une API de prédiction et une application web de démonstration.</w:t>
        <w:br/>
        <w:br/>
        <w:t>Le jeu de données utilisé est inspiré de Cityscapes. Les annotations originales (labelIds) sont regroupées en 8 catégories principales afin de répondre aux contraintes d'intégration amont/aval. Quatre architectures de type UNet ont été comparées sur un jeu de validation commun, avec les métriques loss, Dice, IoU et Pixel Accuracy.</w:t>
        <w:br/>
        <w:br/>
        <w:t>Au terme des essais, l'architecture UNet + VGG16 est retenue comme modèle principal pour l'API et l'application de démonstration, car elle fournit des performances stables et un comportement robuste dans un contexte de calcul limité (CPU) et de mise en production simplifiée.</w:t>
      </w:r>
    </w:p>
    <w:p>
      <w:pPr>
        <w:pStyle w:val="Heading2"/>
      </w:pPr>
      <w:r>
        <w:t>Mots-clés</w:t>
      </w:r>
    </w:p>
    <w:p>
      <w:r>
        <w:t>Segmentation sémantique; Cityscapes; UNet; VGG16; Keras; Albumentations; API de prédiction; Streamlit; Heroku.</w:t>
      </w:r>
    </w:p>
    <w:p>
      <w:pPr>
        <w:jc w:val="right"/>
      </w:pPr>
      <w:r>
        <w:rPr>
          <w:sz w:val="20"/>
        </w:rPr>
        <w:t>Date: 12/12/2025</w:t>
      </w:r>
    </w:p>
    <w:p>
      <w:r>
        <w:br w:type="page"/>
      </w:r>
    </w:p>
    <w:p>
      <w:pPr>
        <w:pStyle w:val="Heading1"/>
      </w:pPr>
      <w:r>
        <w:t>1. Contexte et objectifs</w:t>
      </w:r>
    </w:p>
    <w:p>
      <w:r>
        <w:t>Future Vision Transport conçoit des systèmes embarqués de vision par ordinateur pour véhicules autonomes. Dans la chaîne de traitement, le bloc de segmentation reçoit des images pré-traitées et doit produire un masque multi-classes exploitable par un module de décision.</w:t>
        <w:br/>
        <w:br/>
        <w:t>Les objectifs opérationnels du projet sont:</w:t>
        <w:br/>
        <w:t>- entraîner un modèle de segmentation sur 8 catégories principales;</w:t>
        <w:br/>
        <w:t>- fournir une API simple: entrée = image, sortie = masque prédit;</w:t>
        <w:br/>
        <w:t>- proposer une application web permettant de tester l'API et de visualiser image / masque réel / masque prédit.</w:t>
        <w:br/>
        <w:br/>
        <w:t>Contraintes principales:</w:t>
        <w:br/>
        <w:t>- Framework commun: Keras / TensorFlow.</w:t>
        <w:br/>
        <w:t>- Données annotées de scènes urbaines, avec regroupement des classes (34 vers 8).</w:t>
        <w:br/>
        <w:t>- Contexte de calcul limité pour l'entraînement et contraintes de taille/ressources lors du déploiement Cloud.</w:t>
        <w:br/>
      </w:r>
    </w:p>
    <w:p>
      <w:pPr>
        <w:pStyle w:val="Heading2"/>
      </w:pPr>
      <w:r>
        <w:t>1.1 Périmètre fonctionnel</w:t>
      </w:r>
    </w:p>
    <w:p>
      <w:r>
        <w:t>Le modèle doit segmenter chaque pixel de l'image dans l'une des 8 classes suivantes: background, road, sidewalk, building, other construction, object, vegetation, vehicle/agents. L'API et l'application web se limitent volontairement à un usage de démonstration: sélection d'une image, appel de prédiction, puis comparaison visuelle des masques.</w:t>
        <w:br/>
      </w:r>
    </w:p>
    <w:p>
      <w:pPr>
        <w:pStyle w:val="Heading2"/>
      </w:pPr>
      <w:r>
        <w:t>1.2 Critères de décision</w:t>
      </w:r>
    </w:p>
    <w:p>
      <w:r>
        <w:t>Le choix final ne dépend pas uniquement d'une métrique, mais d'un compromis entre:</w:t>
        <w:br/>
        <w:t>- qualité de segmentation (Dice, IoU, cohérence visuelle);</w:t>
        <w:br/>
        <w:t>- stabilité d'entraînement (convergence sur CPU et sensibilité aux hyperparamètres);</w:t>
        <w:br/>
        <w:t>- coût d'intégration (simplicité du pipeline, dépendances, taille du modèle);</w:t>
        <w:br/>
        <w:t>- compatibilité avec une mise en production légère (API et application séparées).</w:t>
        <w:br/>
      </w:r>
    </w:p>
    <w:p>
      <w:r>
        <w:br w:type="page"/>
      </w:r>
    </w:p>
    <w:p>
      <w:pPr>
        <w:pStyle w:val="Heading1"/>
      </w:pPr>
      <w:r>
        <w:t>2. Etat de l'art - segmentation sémantique</w:t>
      </w:r>
    </w:p>
    <w:p>
      <w:r>
        <w:t>La segmentation sémantique vise à attribuer une étiquette de classe à chaque pixel d'une image. Contrairement à la détection d'objets (boîtes englobantes) ou à la segmentation d'instances (différencier chaque objet), la segmentation sémantique produit une carte dense de classes.</w:t>
        <w:br/>
        <w:br/>
        <w:t>L'état de l'art moderne s'est construit autour de réseaux convolutifs (CNN) puis, plus récemment, autour d'architectures hybrides ou de transformeurs. Les familles d'approches les plus répandues sont:</w:t>
        <w:br/>
        <w:t>- FCN (Fully Convolutional Networks): premières architectures end-to-end pour la prédiction dense.</w:t>
        <w:br/>
        <w:t>- Encodeur-décodeur: un encodeur extrait des caractéristiques multi-niveaux, puis un décodeur reconstruit la carte de classes à la résolution d'entrée.</w:t>
        <w:br/>
        <w:t>- UNet et variantes: popularisation des skip connections entre niveaux d'encodeur et de décodeur, améliorant la localisation fine des contours.</w:t>
        <w:br/>
        <w:t>- Méthodes à dilatations/atrous et modules contextuels (ex: ASPP): meilleure prise en compte du contexte à grande échelle sans perdre trop de résolution.</w:t>
        <w:br/>
        <w:br/>
        <w:t>Dans un cadre industriel, l'approche 'UNet + backbone pré-entraîné' est un choix fréquent: le backbone (VGG, ResNet, MobileNet) apporte un pouvoir d'extraction de caractéristiques déjà optimisé sur de grands jeux de données, tandis que la tête de décodeur est adaptée à la tâche et aux classes métier. Les modèles légers (MobileNet, EfficientNet-lite) sont privilégiés lorsque la latence est critique, alors que des backbones plus lourds (VGG, ResNet) peuvent offrir une optimisation plus simple et une convergence plus stable dans des budgets de calcul modestes.</w:t>
        <w:br/>
        <w:br/>
        <w:t>Enfin, les architectures basées sur des transformeurs (ex: SegFormer) cherchent à améliorer la modélisation du contexte global. Elles sont toutefois plus coûteuses à entraîner et nécessitent souvent davantage de données et de réglages, ce qui dépasse le périmètre du premier prototype demandé ici.</w:t>
      </w:r>
    </w:p>
    <w:p>
      <w:r>
        <w:br w:type="page"/>
      </w:r>
    </w:p>
    <w:p>
      <w:pPr>
        <w:pStyle w:val="Heading1"/>
      </w:pPr>
      <w:r>
        <w:t>3. Données et préparation</w:t>
      </w:r>
    </w:p>
    <w:p>
      <w:r>
        <w:t>Le jeu de données est constitué d'images urbaines annotées pixel à pixel, sur le modèle Cityscapes. Les annotations brutes utilisent des identifiants de classes détaillés. Pour répondre au besoin du système de décision, ces classes sont regroupées en 8 catégories principales.</w:t>
        <w:br/>
        <w:br/>
        <w:t>3.1 Mapping 34 -&gt; 8 classes</w:t>
        <w:br/>
        <w:t>Le regroupement des classes réduit la granularité mais simplifie la décision en aval et améliore la robustesse sur des classes rares. Le mapping est appliqué directement au masque lors du chargement.</w:t>
        <w:br/>
      </w:r>
    </w:p>
    <w:p>
      <w:pPr>
        <w:pStyle w:val="Heading2"/>
      </w:pPr>
      <w:r>
        <w:t>Table 1 - Catégories de sortie (8 classes)</w:t>
      </w:r>
    </w:p>
    <w:tbl>
      <w:tblPr>
        <w:tblStyle w:val="LightShading-Accent1"/>
        <w:tblW w:type="auto" w:w="0"/>
        <w:tblLook w:firstColumn="1" w:firstRow="1" w:lastColumn="0" w:lastRow="0" w:noHBand="0" w:noVBand="1" w:val="04A0"/>
      </w:tblPr>
      <w:tblGrid>
        <w:gridCol w:w="3213"/>
        <w:gridCol w:w="3213"/>
        <w:gridCol w:w="3213"/>
      </w:tblGrid>
      <w:tr>
        <w:tc>
          <w:tcPr>
            <w:tcW w:type="dxa" w:w="3213"/>
          </w:tcPr>
          <w:p>
            <w:r>
              <w:t>ID</w:t>
            </w:r>
          </w:p>
        </w:tc>
        <w:tc>
          <w:tcPr>
            <w:tcW w:type="dxa" w:w="3213"/>
          </w:tcPr>
          <w:p>
            <w:r>
              <w:t>Classe</w:t>
            </w:r>
          </w:p>
        </w:tc>
        <w:tc>
          <w:tcPr>
            <w:tcW w:type="dxa" w:w="3213"/>
          </w:tcPr>
          <w:p>
            <w:r>
              <w:t>Regroupement (exemples labelIds)</w:t>
            </w:r>
          </w:p>
        </w:tc>
      </w:tr>
      <w:tr>
        <w:tc>
          <w:tcPr>
            <w:tcW w:type="dxa" w:w="3213"/>
          </w:tcPr>
          <w:p>
            <w:r>
              <w:t>0</w:t>
            </w:r>
          </w:p>
        </w:tc>
        <w:tc>
          <w:tcPr>
            <w:tcW w:type="dxa" w:w="3213"/>
          </w:tcPr>
          <w:p>
            <w:r>
              <w:t>background</w:t>
            </w:r>
          </w:p>
        </w:tc>
        <w:tc>
          <w:tcPr>
            <w:tcW w:type="dxa" w:w="3213"/>
          </w:tcPr>
          <w:p>
            <w:r>
              <w:t>0, 1, 2, 3, 4, 5, 6, 9, 10</w:t>
            </w:r>
          </w:p>
        </w:tc>
      </w:tr>
      <w:tr>
        <w:tc>
          <w:tcPr>
            <w:tcW w:type="dxa" w:w="3213"/>
          </w:tcPr>
          <w:p>
            <w:r>
              <w:t>1</w:t>
            </w:r>
          </w:p>
        </w:tc>
        <w:tc>
          <w:tcPr>
            <w:tcW w:type="dxa" w:w="3213"/>
          </w:tcPr>
          <w:p>
            <w:r>
              <w:t>road</w:t>
            </w:r>
          </w:p>
        </w:tc>
        <w:tc>
          <w:tcPr>
            <w:tcW w:type="dxa" w:w="3213"/>
          </w:tcPr>
          <w:p>
            <w:r>
              <w:t>7</w:t>
            </w:r>
          </w:p>
        </w:tc>
      </w:tr>
      <w:tr>
        <w:tc>
          <w:tcPr>
            <w:tcW w:type="dxa" w:w="3213"/>
          </w:tcPr>
          <w:p>
            <w:r>
              <w:t>2</w:t>
            </w:r>
          </w:p>
        </w:tc>
        <w:tc>
          <w:tcPr>
            <w:tcW w:type="dxa" w:w="3213"/>
          </w:tcPr>
          <w:p>
            <w:r>
              <w:t>sidewalk</w:t>
            </w:r>
          </w:p>
        </w:tc>
        <w:tc>
          <w:tcPr>
            <w:tcW w:type="dxa" w:w="3213"/>
          </w:tcPr>
          <w:p>
            <w:r>
              <w:t>8</w:t>
            </w:r>
          </w:p>
        </w:tc>
      </w:tr>
      <w:tr>
        <w:tc>
          <w:tcPr>
            <w:tcW w:type="dxa" w:w="3213"/>
          </w:tcPr>
          <w:p>
            <w:r>
              <w:t>3</w:t>
            </w:r>
          </w:p>
        </w:tc>
        <w:tc>
          <w:tcPr>
            <w:tcW w:type="dxa" w:w="3213"/>
          </w:tcPr>
          <w:p>
            <w:r>
              <w:t>building</w:t>
            </w:r>
          </w:p>
        </w:tc>
        <w:tc>
          <w:tcPr>
            <w:tcW w:type="dxa" w:w="3213"/>
          </w:tcPr>
          <w:p>
            <w:r>
              <w:t>11</w:t>
            </w:r>
          </w:p>
        </w:tc>
      </w:tr>
      <w:tr>
        <w:tc>
          <w:tcPr>
            <w:tcW w:type="dxa" w:w="3213"/>
          </w:tcPr>
          <w:p>
            <w:r>
              <w:t>4</w:t>
            </w:r>
          </w:p>
        </w:tc>
        <w:tc>
          <w:tcPr>
            <w:tcW w:type="dxa" w:w="3213"/>
          </w:tcPr>
          <w:p>
            <w:r>
              <w:t>other construction</w:t>
            </w:r>
          </w:p>
        </w:tc>
        <w:tc>
          <w:tcPr>
            <w:tcW w:type="dxa" w:w="3213"/>
          </w:tcPr>
          <w:p>
            <w:r>
              <w:t>12, 13, 14, 15, 16</w:t>
            </w:r>
          </w:p>
        </w:tc>
      </w:tr>
      <w:tr>
        <w:tc>
          <w:tcPr>
            <w:tcW w:type="dxa" w:w="3213"/>
          </w:tcPr>
          <w:p>
            <w:r>
              <w:t>5</w:t>
            </w:r>
          </w:p>
        </w:tc>
        <w:tc>
          <w:tcPr>
            <w:tcW w:type="dxa" w:w="3213"/>
          </w:tcPr>
          <w:p>
            <w:r>
              <w:t>object</w:t>
            </w:r>
          </w:p>
        </w:tc>
        <w:tc>
          <w:tcPr>
            <w:tcW w:type="dxa" w:w="3213"/>
          </w:tcPr>
          <w:p>
            <w:r>
              <w:t>17, 18, 19, 20</w:t>
            </w:r>
          </w:p>
        </w:tc>
      </w:tr>
      <w:tr>
        <w:tc>
          <w:tcPr>
            <w:tcW w:type="dxa" w:w="3213"/>
          </w:tcPr>
          <w:p>
            <w:r>
              <w:t>6</w:t>
            </w:r>
          </w:p>
        </w:tc>
        <w:tc>
          <w:tcPr>
            <w:tcW w:type="dxa" w:w="3213"/>
          </w:tcPr>
          <w:p>
            <w:r>
              <w:t>vegetation</w:t>
            </w:r>
          </w:p>
        </w:tc>
        <w:tc>
          <w:tcPr>
            <w:tcW w:type="dxa" w:w="3213"/>
          </w:tcPr>
          <w:p>
            <w:r>
              <w:t>21, 22</w:t>
            </w:r>
          </w:p>
        </w:tc>
      </w:tr>
      <w:tr>
        <w:tc>
          <w:tcPr>
            <w:tcW w:type="dxa" w:w="3213"/>
          </w:tcPr>
          <w:p>
            <w:r>
              <w:t>7</w:t>
            </w:r>
          </w:p>
        </w:tc>
        <w:tc>
          <w:tcPr>
            <w:tcW w:type="dxa" w:w="3213"/>
          </w:tcPr>
          <w:p>
            <w:r>
              <w:t>vehicle / agents</w:t>
            </w:r>
          </w:p>
        </w:tc>
        <w:tc>
          <w:tcPr>
            <w:tcW w:type="dxa" w:w="3213"/>
          </w:tcPr>
          <w:p>
            <w:r>
              <w:t>23 à 33</w:t>
            </w:r>
          </w:p>
        </w:tc>
      </w:tr>
    </w:tbl>
    <w:p>
      <w:r>
        <w:t>3.2 Normalisation et mise à l'échelle</w:t>
        <w:br/>
        <w:t>Les images sont converties en RGB et normalisées dans [0, 1]. Les couples image/masque sont redimensionnés dans une résolution cible (H=256, W=512) afin d'harmoniser l'entraînement. Les masques sont redimensionnés en interpolation 'nearest' pour éviter la création de labels intermédiaires. Le masque final est encodé en one-hot (8 canaux) pour l'apprentissage multi-classe.</w:t>
        <w:br/>
      </w:r>
    </w:p>
    <w:p>
      <w:r>
        <w:br w:type="page"/>
      </w:r>
    </w:p>
    <w:p>
      <w:pPr>
        <w:pStyle w:val="Heading1"/>
      </w:pPr>
      <w:r>
        <w:t>4. Génération de données et augmentation</w:t>
      </w:r>
    </w:p>
    <w:p>
      <w:r>
        <w:t>L'entraînement s'appuie sur un générateur Keras (tf.keras.utils.Sequence). Ce choix présente plusieurs avantages pour un pipeline industrialisable:</w:t>
        <w:br/>
        <w:t>- lecture et pré-traitement à la volée (pas de chargement complet en mémoire);</w:t>
        <w:br/>
        <w:t>- compatibilité avec l'entraînement Keras (fit) et le multi-processing si nécessaire;</w:t>
        <w:br/>
        <w:t>- application contrôlée des augmentations uniquement sur l'entraînement.</w:t>
        <w:br/>
        <w:br/>
        <w:t>4.1 Principe du générateur</w:t>
        <w:br/>
        <w:t>A chaque itération, le générateur:</w:t>
        <w:br/>
        <w:t>1) lit l'image et son masque;</w:t>
        <w:br/>
        <w:t>2) applique le mapping 34 -&gt; 8 sur le masque;</w:t>
        <w:br/>
        <w:t>3) redimensionne image et masque;</w:t>
        <w:br/>
        <w:t>4) applique des augmentations (train uniquement);</w:t>
        <w:br/>
        <w:t>5) normalise l'image et encode le masque en one-hot.</w:t>
        <w:br/>
      </w:r>
    </w:p>
    <w:p>
      <w:pPr>
        <w:pStyle w:val="Heading2"/>
      </w:pPr>
      <w:r>
        <w:t>Extrait - définition des augmentations (Albumentations)</w:t>
      </w:r>
    </w:p>
    <w:p>
      <w:pPr>
        <w:spacing w:before="120" w:after="120"/>
      </w:pPr>
      <w:r>
        <w:rPr>
          <w:rFonts w:ascii="Consolas" w:hAnsi="Consolas"/>
          <w:sz w:val="18"/>
        </w:rPr>
        <w:t>def get_augmentations():</w:t>
        <w:br/>
        <w:t xml:space="preserve">    return A.Compose([</w:t>
        <w:br/>
        <w:t xml:space="preserve">        A.HorizontalFlip(p=0.5),</w:t>
        <w:br/>
        <w:t xml:space="preserve">        A.RandomCrop(height=256, width=512, p=0.5),</w:t>
        <w:br/>
        <w:t xml:space="preserve">        A.RandomBrightnessContrast(p=0.3),</w:t>
        <w:br/>
        <w:t xml:space="preserve">        A.GaussianBlur(p=0.1),</w:t>
        <w:br/>
        <w:t xml:space="preserve">        A.ShiftScaleRotate(shift_limit=0.05, scale_limit=0.1,</w:t>
        <w:br/>
        <w:t xml:space="preserve">                           rotate_limit=10, p=0.4, border_mode=0)</w:t>
        <w:br/>
        <w:t xml:space="preserve">    ], additional_targets={'mask': 'mask'})</w:t>
        <w:br/>
      </w:r>
    </w:p>
    <w:p>
      <w:r>
        <w:t>4.2 Rôle des augmentations</w:t>
        <w:br/>
        <w:t>Les augmentations augmentent la diversité apparente du jeu d'entraînement sans collecter de nouvelles données. Elles renforcent la généralisation aux variations de cadrage (crop), d'illumination (brightness/contrast) et aux légères perturbations géométriques (shift/scale/rotate). Les transformations sont appliquées de manière couplée sur l'image et sur le masque, afin de préserver l'alignement pixel à pixel.</w:t>
        <w:br/>
        <w:br/>
        <w:t>Dans le cadre du déploiement, la séparation entre données d'entraînement et de validation est respectée: aucune augmentation n'est appliquée sur val_gen, ce qui garantit une mesure fidèle de la performance.</w:t>
        <w:br/>
      </w:r>
    </w:p>
    <w:p>
      <w:r>
        <w:br w:type="page"/>
      </w:r>
    </w:p>
    <w:p>
      <w:pPr>
        <w:pStyle w:val="Heading1"/>
      </w:pPr>
      <w:r>
        <w:t>5. Architectures évaluées</w:t>
      </w:r>
    </w:p>
    <w:p>
      <w:r>
        <w:t>Quatre variantes ont été comparées. Toutes reposent sur un schéma de type UNet: un encodeur qui compresse l'information (caractéristiques de haut niveau) et un décodeur qui reconstruit une carte de classes à la résolution d'origine, avec des connexions de saut (skip connections) pour réinjecter l'information fine.</w:t>
        <w:br/>
        <w:br/>
        <w:t>5.1 UNet Mini (baseline)</w:t>
        <w:br/>
        <w:t>Version légère, utilisée pour valider le pipeline (données, mapping, métriques) et établir un point de référence.</w:t>
        <w:br/>
        <w:br/>
        <w:t>5.2 UNet + MobileNetV2</w:t>
        <w:br/>
        <w:t>Encodeur pré-entraîné compact. Il est conçu pour un bon rapport performance/latence et une empreinte mémoire réduite.</w:t>
        <w:br/>
        <w:br/>
        <w:t>5.3 UNet + VGG16</w:t>
        <w:br/>
        <w:t>Encodeur convolutionnel classique, structuré et stable. Son empilement de convolutions 3x3 fournit des représentations hiérarchiques utiles pour les scènes urbaines.</w:t>
        <w:br/>
        <w:br/>
        <w:t>5.4 UNet + ResNet50</w:t>
        <w:br/>
        <w:t>Encodeur plus profond avec connexions résiduelles. Il peut être performant mais est plus coûteux et peut nécessiter davantage de réglages et de budget de calcul.</w:t>
        <w:br/>
        <w:br/>
        <w:t>5.5 Conditions de comparaison</w:t>
        <w:br/>
        <w:t>Afin de comparer les architectures, l'entraînement est réalisé avec un protocole homogène: même pré-traitement, même résolution, même stratégie d'augmentation et mêmes métriques de suivi. Le contexte de calcul est volontairement contraint (CPU), ce qui reflète un scénario réaliste de prototypage et met en évidence la stabilité de convergence des modèles.</w:t>
      </w:r>
    </w:p>
    <w:p>
      <w:r>
        <w:br w:type="page"/>
      </w:r>
    </w:p>
    <w:p>
      <w:pPr>
        <w:pStyle w:val="Heading1"/>
      </w:pPr>
      <w:r>
        <w:t>6. Protocole d'évaluation et métriques</w:t>
      </w:r>
    </w:p>
    <w:p>
      <w:r>
        <w:t>Les modèles sont évalués sur le générateur de validation (val_gen). L'objectif est de mesurer la qualité de prédiction du masque multi-classes, au-delà de la simple diminution de la loss.</w:t>
        <w:br/>
        <w:br/>
        <w:t>6.1 Dice Coefficient (Dice)</w:t>
        <w:br/>
        <w:t>Le Dice mesure le recouvrement entre le masque prédit P et le masque réel G:</w:t>
        <w:br/>
        <w:t>Dice = 2 * |P ∩ G| / (|P| + |G|)</w:t>
        <w:br/>
        <w:t>Il est particulièrement utile en segmentation lorsque certaines classes sont déséquilibrées.</w:t>
        <w:br/>
        <w:br/>
        <w:t>6.2 Intersection over Union (IoU)</w:t>
        <w:br/>
        <w:t>L'IoU mesure également le recouvrement mais pénalise davantage les faux positifs:</w:t>
        <w:br/>
        <w:t>IoU = |P ∩ G| / |P ∪ G|</w:t>
        <w:br/>
        <w:br/>
        <w:t>6.3 Pixel Accuracy</w:t>
        <w:br/>
        <w:t>La Pixel Accuracy correspond à la proportion de pixels correctement classés:</w:t>
        <w:br/>
        <w:t>PixelAcc = (# pixels corrects) / (# pixels totaux)</w:t>
        <w:br/>
        <w:t>Cette métrique peut être optimiste si le fond domine fortement l'image, d'où l'intérêt de la compléter par Dice/IoU.</w:t>
        <w:br/>
        <w:br/>
        <w:t>6.4 Interprétation</w:t>
        <w:br/>
        <w:t>Dans un cadre multi-classe, ces métriques sont calculées sur l'ensemble des pixels et agrégées par batch (puis moyennées sur l'époque). La comparaison relative entre modèles est privilégiée, car toutes les variantes subissent exactement le même protocole d'évaluation.</w:t>
      </w:r>
    </w:p>
    <w:p>
      <w:r>
        <w:br w:type="page"/>
      </w:r>
    </w:p>
    <w:p>
      <w:pPr>
        <w:pStyle w:val="Heading1"/>
      </w:pPr>
      <w:r>
        <w:t>7. Résultats et analyse</w:t>
      </w:r>
    </w:p>
    <w:p>
      <w:r>
        <w:t>Les quatre architectures ont été évaluées sur le jeu de validation (val_gen) avec les métriques suivantes: loss, Dice Coefficient (dice_coef), IoU (iou_metric) et Pixel Accuracy (pixel_accuracy).</w:t>
      </w:r>
    </w:p>
    <w:p>
      <w:pPr>
        <w:pStyle w:val="Heading2"/>
      </w:pPr>
      <w:r>
        <w:t>Table 2 - Résultats sur val_gen</w:t>
      </w:r>
    </w:p>
    <w:tbl>
      <w:tblPr>
        <w:tblStyle w:val="LightShading-Accent1"/>
        <w:tblW w:type="auto" w:w="0"/>
        <w:tblLook w:firstColumn="1" w:firstRow="1" w:lastColumn="0" w:lastRow="0" w:noHBand="0" w:noVBand="1" w:val="04A0"/>
      </w:tblPr>
      <w:tblGrid>
        <w:gridCol w:w="1928"/>
        <w:gridCol w:w="1928"/>
        <w:gridCol w:w="1928"/>
        <w:gridCol w:w="1928"/>
        <w:gridCol w:w="1928"/>
      </w:tblGrid>
      <w:tr>
        <w:tc>
          <w:tcPr>
            <w:tcW w:type="dxa" w:w="1928"/>
          </w:tcPr>
          <w:p>
            <w:r>
              <w:t>Modèle</w:t>
            </w:r>
          </w:p>
        </w:tc>
        <w:tc>
          <w:tcPr>
            <w:tcW w:type="dxa" w:w="1928"/>
          </w:tcPr>
          <w:p>
            <w:r>
              <w:t>loss</w:t>
            </w:r>
          </w:p>
        </w:tc>
        <w:tc>
          <w:tcPr>
            <w:tcW w:type="dxa" w:w="1928"/>
          </w:tcPr>
          <w:p>
            <w:r>
              <w:t>dice_coef</w:t>
            </w:r>
          </w:p>
        </w:tc>
        <w:tc>
          <w:tcPr>
            <w:tcW w:type="dxa" w:w="1928"/>
          </w:tcPr>
          <w:p>
            <w:r>
              <w:t>iou_metric</w:t>
            </w:r>
          </w:p>
        </w:tc>
        <w:tc>
          <w:tcPr>
            <w:tcW w:type="dxa" w:w="1928"/>
          </w:tcPr>
          <w:p>
            <w:r>
              <w:t>pixel_accuracy</w:t>
            </w:r>
          </w:p>
        </w:tc>
      </w:tr>
      <w:tr>
        <w:tc>
          <w:tcPr>
            <w:tcW w:type="dxa" w:w="1928"/>
          </w:tcPr>
          <w:p>
            <w:r>
              <w:t>unet_mini</w:t>
            </w:r>
          </w:p>
        </w:tc>
        <w:tc>
          <w:tcPr>
            <w:tcW w:type="dxa" w:w="1928"/>
          </w:tcPr>
          <w:p>
            <w:r>
              <w:t>0.857398</w:t>
            </w:r>
          </w:p>
        </w:tc>
        <w:tc>
          <w:tcPr>
            <w:tcW w:type="dxa" w:w="1928"/>
          </w:tcPr>
          <w:p>
            <w:r>
              <w:t>0.142602</w:t>
            </w:r>
          </w:p>
        </w:tc>
        <w:tc>
          <w:tcPr>
            <w:tcW w:type="dxa" w:w="1928"/>
          </w:tcPr>
          <w:p>
            <w:r>
              <w:t>0.027295</w:t>
            </w:r>
          </w:p>
        </w:tc>
        <w:tc>
          <w:tcPr>
            <w:tcW w:type="dxa" w:w="1928"/>
          </w:tcPr>
          <w:p>
            <w:r>
              <w:t>0.142602</w:t>
            </w:r>
          </w:p>
        </w:tc>
      </w:tr>
      <w:tr>
        <w:tc>
          <w:tcPr>
            <w:tcW w:type="dxa" w:w="1928"/>
          </w:tcPr>
          <w:p>
            <w:r>
              <w:t>unet_mobilenetv2</w:t>
            </w:r>
          </w:p>
        </w:tc>
        <w:tc>
          <w:tcPr>
            <w:tcW w:type="dxa" w:w="1928"/>
          </w:tcPr>
          <w:p>
            <w:r>
              <w:t>0.257861</w:t>
            </w:r>
          </w:p>
        </w:tc>
        <w:tc>
          <w:tcPr>
            <w:tcW w:type="dxa" w:w="1928"/>
          </w:tcPr>
          <w:p>
            <w:r>
              <w:t>0.742139</w:t>
            </w:r>
          </w:p>
        </w:tc>
        <w:tc>
          <w:tcPr>
            <w:tcW w:type="dxa" w:w="1928"/>
          </w:tcPr>
          <w:p>
            <w:r>
              <w:t>0.373283</w:t>
            </w:r>
          </w:p>
        </w:tc>
        <w:tc>
          <w:tcPr>
            <w:tcW w:type="dxa" w:w="1928"/>
          </w:tcPr>
          <w:p>
            <w:r>
              <w:t>0.743483</w:t>
            </w:r>
          </w:p>
        </w:tc>
      </w:tr>
      <w:tr>
        <w:tc>
          <w:tcPr>
            <w:tcW w:type="dxa" w:w="1928"/>
          </w:tcPr>
          <w:p>
            <w:r>
              <w:t>unet_vgg16</w:t>
            </w:r>
          </w:p>
        </w:tc>
        <w:tc>
          <w:tcPr>
            <w:tcW w:type="dxa" w:w="1928"/>
          </w:tcPr>
          <w:p>
            <w:r>
              <w:t>0.411067</w:t>
            </w:r>
          </w:p>
        </w:tc>
        <w:tc>
          <w:tcPr>
            <w:tcW w:type="dxa" w:w="1928"/>
          </w:tcPr>
          <w:p>
            <w:r>
              <w:t>0.588933</w:t>
            </w:r>
          </w:p>
        </w:tc>
        <w:tc>
          <w:tcPr>
            <w:tcW w:type="dxa" w:w="1928"/>
          </w:tcPr>
          <w:p>
            <w:r>
              <w:t>0.213391</w:t>
            </w:r>
          </w:p>
        </w:tc>
        <w:tc>
          <w:tcPr>
            <w:tcW w:type="dxa" w:w="1928"/>
          </w:tcPr>
          <w:p>
            <w:r>
              <w:t>0.589134</w:t>
            </w:r>
          </w:p>
        </w:tc>
      </w:tr>
      <w:tr>
        <w:tc>
          <w:tcPr>
            <w:tcW w:type="dxa" w:w="1928"/>
          </w:tcPr>
          <w:p>
            <w:r>
              <w:t>unet_resnet50</w:t>
            </w:r>
          </w:p>
        </w:tc>
        <w:tc>
          <w:tcPr>
            <w:tcW w:type="dxa" w:w="1928"/>
          </w:tcPr>
          <w:p>
            <w:r>
              <w:t>0.857398</w:t>
            </w:r>
          </w:p>
        </w:tc>
        <w:tc>
          <w:tcPr>
            <w:tcW w:type="dxa" w:w="1928"/>
          </w:tcPr>
          <w:p>
            <w:r>
              <w:t>0.142602</w:t>
            </w:r>
          </w:p>
        </w:tc>
        <w:tc>
          <w:tcPr>
            <w:tcW w:type="dxa" w:w="1928"/>
          </w:tcPr>
          <w:p>
            <w:r>
              <w:t>0.027295</w:t>
            </w:r>
          </w:p>
        </w:tc>
        <w:tc>
          <w:tcPr>
            <w:tcW w:type="dxa" w:w="1928"/>
          </w:tcPr>
          <w:p>
            <w:r>
              <w:t>0.142602</w:t>
            </w:r>
          </w:p>
        </w:tc>
      </w:tr>
    </w:tbl>
    <w:p>
      <w:r>
        <w:t>7.1 Lecture des résultats</w:t>
        <w:br/>
        <w:t>- UNet Mini: modèle baseline très léger. Les scores restent modestes (Dice ~ 0.14, IoU très faible). Il confirme la validité du pipeline, mais ne répond pas au besoin fonctionnel.</w:t>
        <w:br/>
        <w:t>- UNet + MobileNetV2: meilleure performance sur ce protocole (Dice ~ 0.74, IoU ~ 0.37). L'encodeur compact apprend rapidement des représentations utiles.</w:t>
        <w:br/>
        <w:t>- UNet + VGG16: performances solides et stables (Dice ~ 0.59, IoU ~ 0.21). Le modèle fournit un comportement régulier et des masques cohérents.</w:t>
        <w:br/>
        <w:t>- UNet + ResNet50: performances faibles dans ce contexte. Le modèle est plus lourd et n'a pas convergé de manière satisfaisante dans un entraînement limité sur CPU.</w:t>
        <w:br/>
        <w:br/>
        <w:t>7.2 Justification du choix final</w:t>
        <w:br/>
        <w:t>Bien que MobileNetV2 obtienne les meilleures métriques, l'architecture UNet + VGG16 est retenue comme modèle principal pour l'API et l'application. Le choix privilégie la robustesse et la stabilité de convergence dans un contexte de prototypage contraint, ainsi qu'une intégration simple et reproductible. Les autres modèles restent présentés à des fins de comparaison méthodologique.</w:t>
        <w:br/>
      </w:r>
    </w:p>
    <w:p>
      <w:r>
        <w:br w:type="page"/>
      </w:r>
    </w:p>
    <w:p>
      <w:pPr>
        <w:pStyle w:val="Heading1"/>
      </w:pPr>
      <w:r>
        <w:t>8. Modèle retenu - UNet + VGG16</w:t>
      </w:r>
    </w:p>
    <w:p>
      <w:r>
        <w:t>Cette section détaille l'architecture retenue et explique pourquoi VGG16 constitue un bon backbone pour un premier prototype de segmentation sémantique.</w:t>
        <w:br/>
        <w:br/>
        <w:t>8.1 Rappel sur VGG16</w:t>
        <w:br/>
        <w:t>VGG16 est un réseau convolutionnel profond composé d'un empilement régulier de convolutions 3x3 et de couches de pooling. Cette structure simple produit des caractéristiques hiérarchiques: bords et textures (couches peu profondes), motifs et parties d'objets (couches intermédiaires), puis concepts plus globaux (couches profondes). La disponibilité de poids pré-entraînés (ImageNet) permet d'accélérer la convergence et d'améliorer la généralisation, même avec un budget de calcul limité.</w:t>
        <w:br/>
        <w:br/>
        <w:t>8.2 Intégration dans UNet</w:t>
        <w:br/>
        <w:t>Dans UNet + VGG16, l'encodeur VGG16 remplace l'encodeur convolutionnel standard. Les activations issues de plusieurs niveaux (avant pooling) sont connectées au décodeur via des skip connections. Ces connexions réinjectent l'information spatiale fine (contours, détails locaux), pendant que les couches profondes apportent le contexte (structure de scène).</w:t>
        <w:br/>
        <w:br/>
        <w:t>8.3 Atouts pour le projet</w:t>
        <w:br/>
        <w:t>- Convergence stable: architecture simple, bien comprise, souvent moins sensible aux réglages que des backbones très profonds.</w:t>
        <w:br/>
        <w:t>- Bon compromis qualité/complexité: performances correctes sur les classes principales, avec des masques visuellement cohérents.</w:t>
        <w:br/>
        <w:t>- Transfert learning pratique: possibilité de geler une partie des couches (feature extractor) puis de dé-geler progressivement pour affiner sur Cityscapes.</w:t>
        <w:br/>
        <w:t>- Intégration Keras facilitée: disponibilité directe dans tensorflow.keras.applications et compatibilité avec un décodeur UNet standard.</w:t>
        <w:br/>
        <w:br/>
        <w:t>8.4 Limites identifiées</w:t>
        <w:br/>
        <w:t>VGG16 n'est pas le backbone le plus efficace en termes de paramètres. Pour une mise en production embarquée à grande échelle, une optimisation (compression, quantification) ou un backbone plus léger pourrait être préférable. Dans le cadre de ce projet, la priorité est donnée à un modèle fiable et démontrable.</w:t>
      </w:r>
    </w:p>
    <w:p>
      <w:r>
        <w:br w:type="page"/>
      </w:r>
    </w:p>
    <w:p>
      <w:pPr>
        <w:pStyle w:val="Heading1"/>
      </w:pPr>
      <w:r>
        <w:t>9. Mise en production, API et application de démonstration</w:t>
      </w:r>
    </w:p>
    <w:p>
      <w:r>
        <w:t>La mise en production est organisée autour de deux services distincts:</w:t>
        <w:br/>
        <w:t>- une API de prédiction (modèle uniquement) déployée sur Heroku;</w:t>
        <w:br/>
        <w:t>- une application Streamlit (interface) qui consomme l'API et gère l'affichage.</w:t>
        <w:br/>
        <w:br/>
        <w:t>9.1 Contrat d'API (simplifié)</w:t>
        <w:br/>
        <w:t>Entrée: une image RGB.</w:t>
        <w:br/>
        <w:t>Traitement côté API: redimensionnement et normalisation identiques à l'entraînement, prédiction du tenseur (H, W, 8), puis argmax pour obtenir un masque en entiers [0..7].</w:t>
        <w:br/>
        <w:t>Sortie: masque prédit (format sérialisé) retourné au client.</w:t>
        <w:br/>
        <w:br/>
        <w:t>9.2 Application Streamlit</w:t>
        <w:br/>
        <w:t>L'application liste les IDs disponibles, charge l'image et le masque réel, envoie l'image à l'API, puis affiche trois panneaux: image, masque réel (remappé) et masque prédit. Le cache Streamlit limite les rechargements et améliore l'expérience de démonstration.</w:t>
        <w:br/>
        <w:br/>
        <w:t>9.3 CI/CD (GitHub Actions)</w:t>
        <w:br/>
        <w:t>Le pipeline exécute des tests (pytest) puis déploie l'application Streamlit. Le déploiement automatique de l'API est volontairement désactivé, car le slug dépasse la limite de 500 Mo sur Heroku; l'API reste sur la dernière version déployée avec succès. Cette séparation (requirements API vs requirements Streamlit) réduit les dépendances côté interface.</w:t>
        <w:br/>
      </w:r>
    </w:p>
    <w:p>
      <w:pPr>
        <w:pStyle w:val="Heading1"/>
      </w:pPr>
      <w:r>
        <w:t>10. Conclusion et pistes d'amélioration</w:t>
      </w:r>
    </w:p>
    <w:p>
      <w:r>
        <w:t>Ce travail fournit un premier prototype complet et intégrable: pipeline de génération de données, comparaison d'architectures, sélection d'un modèle principal (UNet + VGG16), exposition via une API et application web de démonstration.</w:t>
        <w:br/>
        <w:br/>
        <w:t>Pistes d'amélioration envisageables:</w:t>
        <w:br/>
        <w:t>- Entraînement: augmenter le budget (GPU), ajuster le nombre d'époques, mettre en place une recherche d'hyperparamètres (learning rate, batch size) et des stratégies de scheduler.</w:t>
        <w:br/>
        <w:t>- Loss et déséquilibre de classes: tester des losses plus adaptées (ex: focal loss, Dice loss pondérée) et des pondérations par classe.</w:t>
        <w:br/>
        <w:t>- Modèles: évaluer DeepLabv3+ ou des architectures récentes (transformer-light) si les ressources le permettent.</w:t>
        <w:br/>
        <w:t>- Données: enrichir les augmentations (météo, occlusions), analyser les erreurs par classe et renforcer les classes rares.</w:t>
        <w:br/>
        <w:t>- Déploiement: optimiser la taille du modèle (quantification TFLite, pruning) et utiliser un packaging plus reproductible (Docker) pour réduire les écarts entre entraînement et production.</w:t>
        <w:br/>
      </w:r>
    </w:p>
    <w:sectPr w:rsidR="00FC693F" w:rsidRPr="0006063C" w:rsidSect="00034616">
      <w:headerReference w:type="default" r:id="rId9"/>
      <w:footerReference w:type="default" r:id="rId10"/>
      <w:pgSz w:w="11906" w:h="16838"/>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 PAGE </w:instrText>
      <w:fldChar w:fldCharType="separate"/>
      <w:t>1</w:t>
      <w:fldChar w:fldCharType="end"/>
    </w:r>
    <w:r>
      <w:rPr>
        <w:sz w:val="18"/>
      </w:rPr>
      <w:t xml:space="preserve"> /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Note Technique - P8 OpenClassroom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