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Inter-bold.ttf" ContentType="application/x-font-ttf"/>
  <Override PartName="/word/fonts/Inter-regular.ttf" ContentType="application/x-font-ttf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spacing w:line="252" w:lineRule="auto" w:after="60"/>
        <w:jc w:val="center"/>
        <w:rPr>
          <w:rFonts w:ascii="Inter" w:cs="Inter" w:eastAsia="Inter" w:hAnsi="Inter"/>
        </w:rPr>
      </w:pPr>
      <w:bookmarkStart w:colFirst="0" w:colLast="0" w:name="_gjdgxs" w:id="0"/>
      <w:bookmarkEnd w:id="0"/>
      <w:r w:rsidDel="00000000" w:rsidR="00000000" w:rsidRPr="00000000">
        <w:rPr>
          <w:rFonts w:ascii="Inter" w:cs="Inter" w:eastAsia="Inter" w:hAnsi="Inter"/>
          <w:b w:val="1"/>
          <w:sz w:val="50"/>
          <w:szCs w:val="50"/>
          <w:rtl w:val="0"/>
        </w:rPr>
        <w:t xml:space="preserve">Plan prévisionnel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spacing w:line="276" w:lineRule="auto" w:before="160" w:after="40"/>
        <w:rPr>
          <w:rFonts w:ascii="Inter" w:cs="Inter" w:eastAsia="Inter" w:hAnsi="Inter"/>
          <w:b w:val="1"/>
        </w:rPr>
      </w:pPr>
      <w:bookmarkStart w:colFirst="0" w:colLast="0" w:name="_p0ctbo5gy1xb" w:id="1"/>
      <w:bookmarkEnd w:id="1"/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Dataset retenu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52" w:lineRule="auto" w:after="60"/>
        <w:rPr>
          <w:rFonts w:ascii="Inter" w:cs="Inter" w:eastAsia="Inter" w:hAnsi="Inter"/>
          <w:b w:val="1"/>
        </w:rPr>
      </w:pPr>
      <w:r>
        <w:t>Le projet réutilise le dataset du projet 8 (Cityscapes) pour la segmentation sémantique urbaine. Les images sont traitées en 256×512, sur 8 classes, en conservant les mêmes splits train/validation et le même pipeline de prétraitement que P8.</w:t>
      </w:r>
    </w:p>
    <w:p w:rsidR="00000000" w:rsidDel="00000000" w:rsidP="00000000" w:rsidRDefault="00000000" w:rsidRPr="00000000" w14:paraId="00000004">
      <w:pPr>
        <w:pStyle w:val="Heading2"/>
        <w:spacing w:line="276" w:lineRule="auto" w:before="160" w:after="40"/>
        <w:rPr>
          <w:rFonts w:ascii="Inter" w:cs="Inter" w:eastAsia="Inter" w:hAnsi="Inter"/>
          <w:b w:val="1"/>
        </w:rPr>
      </w:pPr>
      <w:bookmarkStart w:colFirst="0" w:colLast="0" w:name="_30j0zll" w:id="2"/>
      <w:bookmarkEnd w:id="2"/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Modèle</w:t>
      </w: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 envisagé</w:t>
      </w:r>
      <w:r w:rsidDel="00000000" w:rsidR="00000000" w:rsidRPr="00000000">
        <w:rPr>
          <w:rtl w:val="0"/>
        </w:rPr>
      </w:r>
    </w:p>
    <w:p>
      <w:pPr>
        <w:spacing w:line="252" w:lineRule="auto" w:after="60"/>
      </w:pPr>
      <w:r>
        <w:t>L’objectif est de remplacer l’encodeur VGG16 du P8 (baseline robuste mais lourd) par un backbone plus efficace, afin d’itérer rapidement sur CPU. Au départ, trois candidats ont été considérés : SegFormer (B0), ConvNeXt (Tiny) et EfficientNetV2 (B0/S).</w:t>
      </w:r>
    </w:p>
    <w:p>
      <w:pPr>
        <w:spacing w:line="252" w:lineRule="auto" w:after="60"/>
      </w:pPr>
      <w:r>
        <w:t>Le choix final se porte sur EfficientNetV2B0, pour son compromis qualité/coût et son intégration directe via Keras dans un UNet. Le contexte reste celui d’une segmentation multi-classes avec encodeur pré-entraîné gelé, en cherchant à maintenir la qualité tout en réduisant fortement le coût d’entraînement et le temps d’itération.</w:t>
      </w:r>
    </w:p>
    <w:p w:rsidR="00000000" w:rsidDel="00000000" w:rsidP="00000000" w:rsidRDefault="00000000" w:rsidRPr="00000000" w14:paraId="00000007">
      <w:pPr>
        <w:pStyle w:val="Heading2"/>
        <w:spacing w:line="276" w:lineRule="auto" w:before="160" w:after="40"/>
        <w:rPr>
          <w:rFonts w:ascii="Inter" w:cs="Inter" w:eastAsia="Inter" w:hAnsi="Inter"/>
          <w:b w:val="1"/>
        </w:rPr>
      </w:pPr>
      <w:bookmarkStart w:colFirst="0" w:colLast="0" w:name="_2et92p0" w:id="3"/>
      <w:bookmarkEnd w:id="3"/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Références bibliographiques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spacing w:after="60" w:before="240" w:lineRule="auto" w:line="252"/>
        <w:rPr>
          <w:rFonts w:ascii="Inter" w:cs="Inter" w:eastAsia="Inter" w:hAnsi="Inter"/>
          <w:i w:val="1"/>
          <w:color w:val="b7b7b7"/>
          <w:highlight w:val="white"/>
        </w:rPr>
      </w:pPr>
      <w:r>
        <w:t>Références (dont un article de recherche) 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spacing w:after="40" w:afterAutospacing="0" w:before="240" w:lineRule="auto" w:line="252"/>
        <w:ind w:left="720" w:hanging="360"/>
        <w:rPr>
          <w:i w:val="1"/>
          <w:color w:val="b7b7b7"/>
          <w:sz w:val="22"/>
          <w:szCs w:val="22"/>
          <w:highlight w:val="white"/>
        </w:rPr>
      </w:pPr>
      <w:r>
        <w:rPr>
          <w:b w:val="0"/>
          <w:i w:val="0"/>
          <w:color w:val="000000"/>
          <w:sz w:val="20"/>
        </w:rPr>
        <w:t>Tan, M., &amp; Le, Q. (2021). EfficientNetV2: Smaller Models and Faster Training (ICML 2021). https://proceedings.mlr.press/v139/tan21a/tan21a.pdf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spacing w:after="40" w:afterAutospacing="0" w:before="0" w:beforeAutospacing="0" w:lineRule="auto" w:line="252"/>
        <w:ind w:left="720" w:hanging="360"/>
        <w:rPr>
          <w:i w:val="1"/>
          <w:color w:val="b7b7b7"/>
          <w:sz w:val="22"/>
          <w:szCs w:val="22"/>
          <w:highlight w:val="white"/>
        </w:rPr>
      </w:pPr>
      <w:r>
        <w:rPr>
          <w:b w:val="0"/>
          <w:i w:val="0"/>
          <w:color w:val="000000"/>
          <w:sz w:val="20"/>
        </w:rPr>
        <w:t>Google Research. (2021). Toward Fast and Accurate Neural Networks for Image Recognition. https://research.google/blog/toward-fast-and-accurate-neural-networks-for-image-recognition/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spacing w:after="40" w:afterAutospacing="0" w:before="0" w:beforeAutospacing="0" w:lineRule="auto" w:line="252"/>
        <w:ind w:left="720" w:hanging="360"/>
        <w:rPr>
          <w:i w:val="1"/>
          <w:color w:val="b7b7b7"/>
          <w:sz w:val="22"/>
          <w:szCs w:val="22"/>
          <w:highlight w:val="white"/>
        </w:rPr>
      </w:pPr>
      <w:r>
        <w:rPr>
          <w:b w:val="0"/>
          <w:i w:val="0"/>
          <w:color w:val="000000"/>
          <w:sz w:val="20"/>
        </w:rPr>
        <w:t>Google AutoML (GitHub). EfficientNetV2 tutorial notebook. https://github.com/google/automl/blob/master/efficientnetv2/tutorial.ipynb</w:t>
      </w:r>
    </w:p>
    <w:p w:rsidR="00000000" w:rsidDel="00000000" w:rsidP="00000000" w:rsidRDefault="00000000" w:rsidRPr="00000000" w14:paraId="00000010">
      <w:pPr>
        <w:pStyle w:val="Heading2"/>
        <w:spacing w:line="276" w:lineRule="auto" w:before="160" w:after="40"/>
        <w:rPr>
          <w:rFonts w:ascii="Inter" w:cs="Inter" w:eastAsia="Inter" w:hAnsi="Inter"/>
          <w:b w:val="1"/>
        </w:rPr>
      </w:pPr>
      <w:r>
        <w:t>Démarche de test (POC)</w:t>
      </w:r>
    </w:p>
    <w:p w:rsidR="00000000" w:rsidDel="00000000" w:rsidP="00000000" w:rsidRDefault="00000000" w:rsidRPr="00000000" w14:paraId="00000011">
      <w:pPr>
        <w:spacing w:line="252" w:lineRule="auto" w:after="60"/>
      </w:pPr>
      <w:r>
        <w:t>La preuve de concept consiste à comparer UNet + VGG16 (baseline P8) et UNet + EfficientNetV2B0, dans des conditions identiques : encodeurs gelés, 7 epochs, batch 4, résolution 256×512, entraînement sur CPU. Les performances sont suivies via Dice, IoU, pixel accuracy et loss, et complétées par le temps par epoch ; un score synthétique est calculé comme la moyenne (Dice/IoU/accuracy).</w:t>
      </w:r>
    </w:p>
    <w:p>
      <w:pPr>
        <w:spacing w:line="252" w:lineRule="auto" w:after="60"/>
      </w:pPr>
      <w:r>
        <w:t>Après 7 epochs, VGG16 atteint ~0,47 (≈230–243 s/epoch) tandis qu’EfficientNetV2B0 atteint ~0,49 (≈54–61 s/epoch), avec des métriques légèrement supérieures et un entraînement environ 4× plus rapide. Le travail s’est déroulé sur 2 semaines : semaine 1, reprise du pipeline et validation de l’implémentation (vidéo + notebook) ; semaine 2, entraînements comparatifs, analyse quanti/quali et synthèse.</w:t>
      </w:r>
    </w:p>
    <w:sectPr>
      <w:headerReference r:id="rId1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Inter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4">
    <w:pPr>
      <w:shd w:fill="ffffff" w:val="clear"/>
      <w:ind w:right="240"/>
      <w:rPr/>
    </w:pPr>
    <w:r w:rsidDel="00000000" w:rsidR="00000000" w:rsidRPr="00000000">
      <w:rPr>
        <w:rFonts w:ascii="Inter" w:cs="Inter" w:eastAsia="Inter" w:hAnsi="Inter"/>
        <w:color w:val="271a38"/>
        <w:sz w:val="24"/>
        <w:szCs w:val="24"/>
        <w:highlight w:val="white"/>
      </w:rPr>
      <w:drawing>
        <wp:inline distB="114300" distT="114300" distL="114300" distR="114300">
          <wp:extent cx="5731200" cy="113030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731200" cy="11303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Inter" w:cs="Inter" w:eastAsia="Inter" w:hAnsi="Inter"/>
        <w:color w:val="271a3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paragraph" w:styleId="Normal" w:default="1">
    <w:name w:val="normal"/>
    <w:pPr>
      <w:spacing w:after="80" w:before="0" w:line="264" w:lineRule="auto"/>
    </w:pPr>
    <w:rPr>
      <w:rFonts w:ascii="Inter" w:hAnsi="Inter"/>
      <w:sz w:val="22"/>
    </w:rPr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 w:val="1"/>
      <w:pageBreakBefore w:val="0"/>
      <w:spacing w:after="60" w:before="240" w:lineRule="auto"/>
    </w:pPr>
    <w:rPr>
      <w:rFonts w:ascii="Inter" w:hAnsi="Inter"/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Inter" w:hAnsi="Inter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://news.mit.edu/topic/machine-learning" TargetMode="External"/><Relationship Id="rId10" Type="http://schemas.openxmlformats.org/officeDocument/2006/relationships/hyperlink" Target="https://www.technologyreview.com/" TargetMode="External"/><Relationship Id="rId13" Type="http://schemas.openxmlformats.org/officeDocument/2006/relationships/hyperlink" Target="https://www.datascienceweekly.org/" TargetMode="External"/><Relationship Id="rId12" Type="http://schemas.openxmlformats.org/officeDocument/2006/relationships/hyperlink" Target="https://dataelixir.com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jack-clark.net/" TargetMode="External"/><Relationship Id="rId15" Type="http://schemas.openxmlformats.org/officeDocument/2006/relationships/hyperlink" Target="https://scholar.google.fr/" TargetMode="External"/><Relationship Id="rId14" Type="http://schemas.openxmlformats.org/officeDocument/2006/relationships/hyperlink" Target="https://arxiv.org/," TargetMode="External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://fastml.com/" TargetMode="External"/><Relationship Id="rId7" Type="http://schemas.openxmlformats.org/officeDocument/2006/relationships/hyperlink" Target="https://machinelearningmastery.com/" TargetMode="External"/><Relationship Id="rId8" Type="http://schemas.openxmlformats.org/officeDocument/2006/relationships/hyperlink" Target="https://www.kdnuggets.com/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