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RELATÓRIO TÉCNICO</w:t>
        <w:br/>
      </w:r>
      <w:r>
        <w:rPr>
          <w:b/>
          <w:sz w:val="26"/>
        </w:rPr>
        <w:t>Classificação probabilística de seleções de elite com ratings Elo históricos</w:t>
      </w:r>
    </w:p>
    <w:p>
      <w:pPr>
        <w:jc w:val="center"/>
      </w:pPr>
      <w:r>
        <w:rPr>
          <w:b/>
        </w:rPr>
        <w:t>Integrantes: Victor de Pinho Sampaio e Pedro Augusto Teixeira</w:t>
        <w:br/>
      </w:r>
      <w:r>
        <w:t>Disciplina: Estatística e Probabilidade</w:t>
      </w:r>
    </w:p>
    <w:p>
      <w:pPr>
        <w:pStyle w:val="Heading1"/>
      </w:pPr>
      <w:r>
        <w:t>1. Descrição do dataset</w:t>
      </w:r>
    </w:p>
    <w:p>
      <w:pPr>
        <w:spacing w:after="100" w:line="259" w:lineRule="auto"/>
      </w:pPr>
      <w:r>
        <w:t>O projeto utiliza o dataset 2026 FIFA World Cup — Historical Elo Ratings, disponibilizado no Kaggle. O arquivo reúne retratos históricos das 48 seleções classificadas para a Copa do Mundo de 2026. A base bruta contém 4.683 registros e 23 atributos originais, com informações entre 1901 e 2026.</w:t>
      </w:r>
    </w:p>
    <w:p>
      <w:r>
        <w:t>O carregamento principal da base é realizado diretamente pelo KaggleHub. A cópia local do CSV permanece no repositório apenas como contingência e para garantir rastreabilidade.</w:t>
      </w:r>
    </w:p>
    <w:p>
      <w:pPr>
        <w:spacing w:after="100" w:line="259" w:lineRule="auto"/>
      </w:pPr>
      <w:r>
        <w:t>Fonte original: https://www.kaggle.com/datasets/afonsofernandescruz/2026-fifa-world-cup-historical-elo-ratings</w:t>
      </w:r>
    </w:p>
    <w:p>
      <w:pPr>
        <w:spacing w:after="100" w:line="259" w:lineRule="auto"/>
      </w:pPr>
      <w:r>
        <w:t>A variável categórica alvo é elite_top10. Ela assume valor 1 quando a seleção ocupa uma das dez primeiras posições do ranking Elo em determinado retrato anual e valor 0 nos demais casos.</w:t>
      </w:r>
    </w:p>
    <w:p>
      <w:pPr>
        <w:pStyle w:val="Heading1"/>
      </w:pPr>
      <w:r>
        <w:t>2. Justificativa da escolha</w:t>
      </w:r>
    </w:p>
    <w:p>
      <w:pPr>
        <w:spacing w:after="100" w:line="259" w:lineRule="auto"/>
      </w:pPr>
      <w:r>
        <w:t>A base atende aos requisitos da disciplina porque contém dados reais, variáveis quantitativas e qualitativas, problemas de qualidade tratáveis, volume suficiente para análise exploratória e condições adequadas para aplicação do Teorema de Bayes e de algoritmos de classificação.</w:t>
      </w:r>
    </w:p>
    <w:p>
      <w:pPr>
        <w:pStyle w:val="Heading1"/>
      </w:pPr>
      <w:r>
        <w:t>3. Tratamento e limpeza dos dados</w:t>
      </w:r>
    </w:p>
    <w:p>
      <w:pPr>
        <w:spacing w:after="100" w:line="259" w:lineRule="auto"/>
      </w:pPr>
      <w:r>
        <w:t>A coluna snapshot_date foi convertida para o tipo data. Em seguida, foram realizadas verificações de ausências, duplicatas exatas, consistência das somas de partidas, valores negativos e ranking inválido.</w:t>
      </w:r>
    </w:p>
    <w:p>
      <w:pPr>
        <w:spacing w:after="100" w:line="259" w:lineRule="auto"/>
      </w:pPr>
      <w:r>
        <w:t>Foram identificadas 48 duplicatas semânticas de 2026. Elas possuem o mesmo conteúdo esportivo e diferem apenas na data do retrato. O pipeline ordena cronologicamente as datas e preserva o retrato anterior. Também foram removidos 728 registros com menos de 30 partidas acumuladas, porque taxas construídas em históricos muito curtos tendem a ser instáveis.</w:t>
      </w:r>
    </w:p>
    <w:p>
      <w:pPr>
        <w:spacing w:after="100" w:line="259" w:lineRule="auto"/>
      </w:pPr>
      <w:r>
        <w:t>Foram criadas taxas de vitórias, empates e derrotas, médias de gols marcados e sofridos, saldo de gols por partida e proporções de jogos em casa, fora e campo neutro. Os outliers foram sinalizados pelo intervalo interquartil e mantidos, pois podem representar trajetórias esportivas reais.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816"/>
            <w:vAlign w:val="center"/>
          </w:tcPr>
          <w:p>
            <w:r>
              <w:rPr>
                <w:b/>
              </w:rPr>
              <w:t>Quantidade</w:t>
            </w:r>
          </w:p>
        </w:tc>
      </w:tr>
      <w:tr>
        <w:tc>
          <w:tcPr>
            <w:tcW w:type="dxa" w:w="4816"/>
            <w:vAlign w:val="center"/>
          </w:tcPr>
          <w:p>
            <w:r>
              <w:t>Linhas originais</w:t>
            </w:r>
          </w:p>
        </w:tc>
        <w:tc>
          <w:tcPr>
            <w:tcW w:type="dxa" w:w="4816"/>
            <w:vAlign w:val="center"/>
          </w:tcPr>
          <w:p>
            <w:r>
              <w:t>4.683</w:t>
            </w:r>
          </w:p>
        </w:tc>
      </w:tr>
      <w:tr>
        <w:tc>
          <w:tcPr>
            <w:tcW w:type="dxa" w:w="4816"/>
            <w:vAlign w:val="center"/>
          </w:tcPr>
          <w:p>
            <w:r>
              <w:t>Duplicatas semânticas removidas</w:t>
            </w:r>
          </w:p>
        </w:tc>
        <w:tc>
          <w:tcPr>
            <w:tcW w:type="dxa" w:w="4816"/>
            <w:vAlign w:val="center"/>
          </w:tcPr>
          <w:p>
            <w:r>
              <w:t>48</w:t>
            </w:r>
          </w:p>
        </w:tc>
      </w:tr>
      <w:tr>
        <w:tc>
          <w:tcPr>
            <w:tcW w:type="dxa" w:w="4816"/>
            <w:vAlign w:val="center"/>
          </w:tcPr>
          <w:p>
            <w:r>
              <w:t>Retratos com menos de 30 partidas removidos</w:t>
            </w:r>
          </w:p>
        </w:tc>
        <w:tc>
          <w:tcPr>
            <w:tcW w:type="dxa" w:w="4816"/>
            <w:vAlign w:val="center"/>
          </w:tcPr>
          <w:p>
            <w:r>
              <w:t>728</w:t>
            </w:r>
          </w:p>
        </w:tc>
      </w:tr>
      <w:tr>
        <w:tc>
          <w:tcPr>
            <w:tcW w:type="dxa" w:w="4816"/>
            <w:vAlign w:val="center"/>
          </w:tcPr>
          <w:p>
            <w:r>
              <w:t>Linhas finais</w:t>
            </w:r>
          </w:p>
        </w:tc>
        <w:tc>
          <w:tcPr>
            <w:tcW w:type="dxa" w:w="4816"/>
            <w:vAlign w:val="center"/>
          </w:tcPr>
          <w:p>
            <w:r>
              <w:t>3.907</w:t>
            </w:r>
          </w:p>
        </w:tc>
      </w:tr>
      <w:tr>
        <w:tc>
          <w:tcPr>
            <w:tcW w:type="dxa" w:w="4816"/>
            <w:vAlign w:val="center"/>
          </w:tcPr>
          <w:p>
            <w:r>
              <w:t>Seleções distintas</w:t>
            </w:r>
          </w:p>
        </w:tc>
        <w:tc>
          <w:tcPr>
            <w:tcW w:type="dxa" w:w="4816"/>
            <w:vAlign w:val="center"/>
          </w:tcPr>
          <w:p>
            <w:r>
              <w:t>48</w:t>
            </w:r>
          </w:p>
        </w:tc>
      </w:tr>
      <w:tr>
        <w:tc>
          <w:tcPr>
            <w:tcW w:type="dxa" w:w="4816"/>
            <w:vAlign w:val="center"/>
          </w:tcPr>
          <w:p>
            <w:r>
              <w:t>Observações fora do Top 10</w:t>
            </w:r>
          </w:p>
        </w:tc>
        <w:tc>
          <w:tcPr>
            <w:tcW w:type="dxa" w:w="4816"/>
            <w:vAlign w:val="center"/>
          </w:tcPr>
          <w:p>
            <w:r>
              <w:t>3.052</w:t>
            </w:r>
          </w:p>
        </w:tc>
      </w:tr>
      <w:tr>
        <w:tc>
          <w:tcPr>
            <w:tcW w:type="dxa" w:w="4816"/>
            <w:vAlign w:val="center"/>
          </w:tcPr>
          <w:p>
            <w:r>
              <w:t>Observações de elite</w:t>
            </w:r>
          </w:p>
        </w:tc>
        <w:tc>
          <w:tcPr>
            <w:tcW w:type="dxa" w:w="4816"/>
            <w:vAlign w:val="center"/>
          </w:tcPr>
          <w:p>
            <w:r>
              <w:t>855</w:t>
            </w:r>
          </w:p>
        </w:tc>
      </w:tr>
    </w:tbl>
    <w:p/>
    <w:p>
      <w:pPr>
        <w:pStyle w:val="Heading1"/>
      </w:pPr>
      <w:r>
        <w:t>4. Análise exploratória</w:t>
      </w:r>
    </w:p>
    <w:p>
      <w:pPr>
        <w:spacing w:after="100" w:line="259" w:lineRule="auto"/>
      </w:pPr>
      <w:r>
        <w:t>A classe elite_top10 representa aproximadamente 21,9% das observações tratadas. O desequilíbrio moderado entre as classes justifica a utilização de métricas adicionais à acurácia.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51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icao_al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5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Figura 1. Distribuição da variável-alvo elite_top10.</w:t>
      </w:r>
    </w:p>
    <w:p>
      <w:pPr>
        <w:spacing w:after="100" w:line="259" w:lineRule="auto"/>
      </w:pPr>
      <w:r>
        <w:t>Os indicadores mais relacionados com a classe são o rating Elo médio histórico, a taxa de vitórias e o saldo de gols por partida. A análise por confederação revela concentração histórica das observações de elite em UEFA e CONMEBOL, considerando exclusivamente as 48 seleções presentes na 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2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rcao_elite_confeder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Figura 2. Proporção histórica de observações no Top 10 por confederação.</w:t>
      </w:r>
    </w:p>
    <w:p>
      <w:pPr>
        <w:pStyle w:val="Heading1"/>
      </w:pPr>
      <w:r>
        <w:t>5. Teorema de Bayes</w:t>
      </w:r>
    </w:p>
    <w:p>
      <w:pPr>
        <w:spacing w:after="100" w:line="259" w:lineRule="auto"/>
      </w:pPr>
      <w:r>
        <w:t>O classificador bayesiano manual utiliza rating_avg, win_rate, goal_diff_per_match, matches_total e confederation. Os atributos numéricos são discretizados em três faixas: baixo, médio e alto. A implementação calcula as probabilidades a priori, as verossimilhanças condicionais e as probabilidades a posteriori. A suavização de Laplace evita probabilidades iguais a zero em combinações raras.</w:t>
      </w:r>
    </w:p>
    <w:p>
      <w:pPr>
        <w:spacing w:after="100" w:line="259" w:lineRule="auto"/>
      </w:pPr>
      <w:r>
        <w:t>A fórmula utilizada é P(C | X) = P(X | C) × P(C) / P(X). O cálculo foi implementado manualmente no arquivo src/bayes_manual.py, sem uso de classificador Naive Bayes pronto.</w:t>
      </w:r>
    </w:p>
    <w:p>
      <w:pPr>
        <w:pStyle w:val="Heading1"/>
      </w:pPr>
      <w:r>
        <w:t>6. Algoritmos de classificação</w:t>
      </w:r>
    </w:p>
    <w:p>
      <w:pPr>
        <w:spacing w:after="100" w:line="259" w:lineRule="auto"/>
      </w:pPr>
      <w:r>
        <w:t>Além do Bayes manual, foram implementadas regressão logística e árvore de decisão. A avaliação utiliza uma divisão temporal: treino com observações até 2018 e teste com observações entre 2019 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605"/>
            <w:vAlign w:val="center"/>
          </w:tcPr>
          <w:p>
            <w:r>
              <w:rPr>
                <w:b/>
              </w:rPr>
              <w:t>Acurácia</w:t>
            </w:r>
          </w:p>
        </w:tc>
        <w:tc>
          <w:tcPr>
            <w:tcW w:type="dxa" w:w="1605"/>
            <w:vAlign w:val="center"/>
          </w:tcPr>
          <w:p>
            <w:r>
              <w:rPr>
                <w:b/>
              </w:rPr>
              <w:t>Precisão</w:t>
            </w:r>
          </w:p>
        </w:tc>
        <w:tc>
          <w:tcPr>
            <w:tcW w:type="dxa" w:w="1605"/>
            <w:vAlign w:val="center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605"/>
            <w:vAlign w:val="center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605"/>
            <w:vAlign w:val="center"/>
          </w:tcPr>
          <w:p>
            <w:r>
              <w:rPr>
                <w:b/>
              </w:rPr>
              <w:t>ROC AUC</w:t>
            </w:r>
          </w:p>
        </w:tc>
      </w:tr>
      <w:tr>
        <w:tc>
          <w:tcPr>
            <w:tcW w:type="dxa" w:w="1605"/>
            <w:vAlign w:val="center"/>
          </w:tcPr>
          <w:p>
            <w:r>
              <w:t>Árvore de decisão</w:t>
            </w:r>
          </w:p>
        </w:tc>
        <w:tc>
          <w:tcPr>
            <w:tcW w:type="dxa" w:w="1605"/>
            <w:vAlign w:val="center"/>
          </w:tcPr>
          <w:p>
            <w:r>
              <w:t>0,852</w:t>
            </w:r>
          </w:p>
        </w:tc>
        <w:tc>
          <w:tcPr>
            <w:tcW w:type="dxa" w:w="1605"/>
            <w:vAlign w:val="center"/>
          </w:tcPr>
          <w:p>
            <w:r>
              <w:t>0,568</w:t>
            </w:r>
          </w:p>
        </w:tc>
        <w:tc>
          <w:tcPr>
            <w:tcW w:type="dxa" w:w="1605"/>
            <w:vAlign w:val="center"/>
          </w:tcPr>
          <w:p>
            <w:r>
              <w:t>1,000</w:t>
            </w:r>
          </w:p>
        </w:tc>
        <w:tc>
          <w:tcPr>
            <w:tcW w:type="dxa" w:w="1605"/>
            <w:vAlign w:val="center"/>
          </w:tcPr>
          <w:p>
            <w:r>
              <w:t>0,725</w:t>
            </w:r>
          </w:p>
        </w:tc>
        <w:tc>
          <w:tcPr>
            <w:tcW w:type="dxa" w:w="1605"/>
            <w:vAlign w:val="center"/>
          </w:tcPr>
          <w:p>
            <w:r>
              <w:t>0,940</w:t>
            </w:r>
          </w:p>
        </w:tc>
      </w:tr>
      <w:tr>
        <w:tc>
          <w:tcPr>
            <w:tcW w:type="dxa" w:w="1605"/>
            <w:vAlign w:val="center"/>
          </w:tcPr>
          <w:p>
            <w:r>
              <w:t>Regressão logística</w:t>
            </w:r>
          </w:p>
        </w:tc>
        <w:tc>
          <w:tcPr>
            <w:tcW w:type="dxa" w:w="1605"/>
            <w:vAlign w:val="center"/>
          </w:tcPr>
          <w:p>
            <w:r>
              <w:t>0,865</w:t>
            </w:r>
          </w:p>
        </w:tc>
        <w:tc>
          <w:tcPr>
            <w:tcW w:type="dxa" w:w="1605"/>
            <w:vAlign w:val="center"/>
          </w:tcPr>
          <w:p>
            <w:r>
              <w:t>0,610</w:t>
            </w:r>
          </w:p>
        </w:tc>
        <w:tc>
          <w:tcPr>
            <w:tcW w:type="dxa" w:w="1605"/>
            <w:vAlign w:val="center"/>
          </w:tcPr>
          <w:p>
            <w:r>
              <w:t>0,853</w:t>
            </w:r>
          </w:p>
        </w:tc>
        <w:tc>
          <w:tcPr>
            <w:tcW w:type="dxa" w:w="1605"/>
            <w:vAlign w:val="center"/>
          </w:tcPr>
          <w:p>
            <w:r>
              <w:t>0,711</w:t>
            </w:r>
          </w:p>
        </w:tc>
        <w:tc>
          <w:tcPr>
            <w:tcW w:type="dxa" w:w="1605"/>
            <w:vAlign w:val="center"/>
          </w:tcPr>
          <w:p>
            <w:r>
              <w:t>0,956</w:t>
            </w:r>
          </w:p>
        </w:tc>
      </w:tr>
      <w:tr>
        <w:tc>
          <w:tcPr>
            <w:tcW w:type="dxa" w:w="1605"/>
            <w:vAlign w:val="center"/>
          </w:tcPr>
          <w:p>
            <w:r>
              <w:t>Bayes manual</w:t>
            </w:r>
          </w:p>
        </w:tc>
        <w:tc>
          <w:tcPr>
            <w:tcW w:type="dxa" w:w="1605"/>
            <w:vAlign w:val="center"/>
          </w:tcPr>
          <w:p>
            <w:r>
              <w:t>0,846</w:t>
            </w:r>
          </w:p>
        </w:tc>
        <w:tc>
          <w:tcPr>
            <w:tcW w:type="dxa" w:w="1605"/>
            <w:vAlign w:val="center"/>
          </w:tcPr>
          <w:p>
            <w:r>
              <w:t>0,571</w:t>
            </w:r>
          </w:p>
        </w:tc>
        <w:tc>
          <w:tcPr>
            <w:tcW w:type="dxa" w:w="1605"/>
            <w:vAlign w:val="center"/>
          </w:tcPr>
          <w:p>
            <w:r>
              <w:t>0,853</w:t>
            </w:r>
          </w:p>
        </w:tc>
        <w:tc>
          <w:tcPr>
            <w:tcW w:type="dxa" w:w="1605"/>
            <w:vAlign w:val="center"/>
          </w:tcPr>
          <w:p>
            <w:r>
              <w:t>0,684</w:t>
            </w:r>
          </w:p>
        </w:tc>
        <w:tc>
          <w:tcPr>
            <w:tcW w:type="dxa" w:w="1605"/>
            <w:vAlign w:val="center"/>
          </w:tcPr>
          <w:p>
            <w:r>
              <w:t>0,937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_mode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Figura 3. Comparação de desempenho dos três classificadores.</w:t>
      </w:r>
    </w:p>
    <w:p>
      <w:pPr>
        <w:spacing w:after="100" w:line="259" w:lineRule="auto"/>
      </w:pPr>
      <w:r>
        <w:t>A regressão logística atingiu a maior acurácia e o maior ROC AUC. A árvore de decisão apresentou o maior F1-score e recall igual a 1,000. O Bayes manual permaneceu competitivo e evidencia o raciocínio probabilístico exigido pela disciplina.</w:t>
      </w:r>
    </w:p>
    <w:p>
      <w:pPr>
        <w:pStyle w:val="Heading1"/>
      </w:pPr>
      <w:r>
        <w:t>7. Dashboard interativo em Streamlit</w:t>
      </w:r>
    </w:p>
    <w:p>
      <w:pPr>
        <w:spacing w:after="100" w:line="259" w:lineRule="auto"/>
      </w:pPr>
      <w:r>
        <w:t>O produto principal do projeto é o dashboard em Streamlit. A aplicação reúne, em uma única interface, resumo da limpeza, gráficos exploratórios, métricas, matrizes de confusão, formulário para entrada de atributos e comparação das probabilidades estimadas pelos três métodos. Também exibe as etapas do Bayes manual, permitindo visualizar probabilidades a priori, verossimilhanças e probabilidades a posteriori.</w:t>
      </w:r>
    </w:p>
    <w:p>
      <w:pPr/>
      <w:r>
        <w:t>A escolha do Streamlit é coerente com a atividade porque permite que o usuário informe os valores de uma nova observação e compare imediatamente os resultados. O notebook foi mantido em pasta própria como apoio técnico para reprodução das análises, sem substituir o dashboard como produto principal.</w:t>
      </w:r>
    </w:p>
    <w:p>
      <w:pPr>
        <w:pStyle w:val="Heading1"/>
      </w:pPr>
      <w:r>
        <w:t>8. Conclusões e limitações</w:t>
      </w:r>
    </w:p>
    <w:p>
      <w:pPr>
        <w:spacing w:after="100" w:line="259" w:lineRule="auto"/>
      </w:pPr>
      <w:r>
        <w:t>O projeto demonstra que características históricas ajudam a classificar a probabilidade de uma seleção pertencer ao Top 10 do ranking Elo. O resultado deve ser interpretado dentro dos limites da base: somente 48 seleções classificadas para 2026, múltiplos retratos anuais, variável-alvo operacional e ausência de pretensão causal.</w:t>
      </w:r>
    </w:p>
    <w:p>
      <w:pPr>
        <w:pStyle w:val="Heading1"/>
      </w:pPr>
      <w:r>
        <w:t>9. Declaração de uso de IA</w:t>
      </w:r>
    </w:p>
    <w:p>
      <w:pPr>
        <w:spacing w:after="100" w:line="259" w:lineRule="auto"/>
      </w:pPr>
      <w:r>
        <w:t>A equipe utilizou inteligência artificial generativa como ferramenta de apoio para organização, revisão e documentação. A equipe é responsável pela execução, conferência, compreensão e defesa do conteúdo.</w:t>
      </w:r>
    </w:p>
    <w:sectPr w:rsidR="00FC693F" w:rsidRPr="0006063C" w:rsidSect="00034616">
      <w:footerReference w:type="default" r:id="rId12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Projeto de Estatística e Probabilidade | Victor de Pinho Sampaio e Pedro Augusto Teixeira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