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4107" w14:textId="67990F14" w:rsidR="00C55D24" w:rsidRPr="0000434E" w:rsidRDefault="001E4C64" w:rsidP="001E4C64">
      <w:pPr>
        <w:jc w:val="center"/>
      </w:pPr>
      <w:r w:rsidRPr="0000434E">
        <w:rPr>
          <w:noProof/>
        </w:rPr>
        <w:drawing>
          <wp:anchor distT="0" distB="0" distL="114300" distR="114300" simplePos="0" relativeHeight="251658240" behindDoc="1" locked="0" layoutInCell="1" allowOverlap="1" wp14:anchorId="75E463C7" wp14:editId="1299EDB2">
            <wp:simplePos x="0" y="0"/>
            <wp:positionH relativeFrom="margin">
              <wp:posOffset>1452245</wp:posOffset>
            </wp:positionH>
            <wp:positionV relativeFrom="paragraph">
              <wp:posOffset>0</wp:posOffset>
            </wp:positionV>
            <wp:extent cx="2295525" cy="1003935"/>
            <wp:effectExtent l="0" t="0" r="9525" b="5715"/>
            <wp:wrapTight wrapText="bothSides">
              <wp:wrapPolygon edited="0">
                <wp:start x="0" y="0"/>
                <wp:lineTo x="0" y="21313"/>
                <wp:lineTo x="21510" y="21313"/>
                <wp:lineTo x="21510"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295525" cy="1003935"/>
                    </a:xfrm>
                    <a:prstGeom prst="rect">
                      <a:avLst/>
                    </a:prstGeom>
                  </pic:spPr>
                </pic:pic>
              </a:graphicData>
            </a:graphic>
            <wp14:sizeRelH relativeFrom="margin">
              <wp14:pctWidth>0</wp14:pctWidth>
            </wp14:sizeRelH>
            <wp14:sizeRelV relativeFrom="margin">
              <wp14:pctHeight>0</wp14:pctHeight>
            </wp14:sizeRelV>
          </wp:anchor>
        </w:drawing>
      </w:r>
    </w:p>
    <w:p w14:paraId="4C5B1D76" w14:textId="77777777" w:rsidR="001E4C64" w:rsidRPr="0000434E" w:rsidRDefault="001E4C64" w:rsidP="001E4C64">
      <w:pPr>
        <w:jc w:val="center"/>
      </w:pPr>
    </w:p>
    <w:p w14:paraId="2D848892" w14:textId="77777777" w:rsidR="001E4C64" w:rsidRPr="0000434E" w:rsidRDefault="001E4C64" w:rsidP="001E4C64">
      <w:pPr>
        <w:jc w:val="center"/>
      </w:pPr>
    </w:p>
    <w:p w14:paraId="28C5871B" w14:textId="77777777" w:rsidR="001E4C64" w:rsidRPr="0000434E" w:rsidRDefault="001E4C64" w:rsidP="001E4C64">
      <w:pPr>
        <w:jc w:val="center"/>
      </w:pPr>
    </w:p>
    <w:p w14:paraId="00F23A09" w14:textId="6BCE58DC" w:rsidR="001E4C64" w:rsidRPr="0000434E" w:rsidRDefault="001E4C64" w:rsidP="001E4C64">
      <w:pPr>
        <w:jc w:val="center"/>
      </w:pPr>
      <w:r w:rsidRPr="0000434E">
        <w:t>PONTIFÍCIA UNIVERSIDADE CATÓLICA DE GOIÁS</w:t>
      </w:r>
    </w:p>
    <w:p w14:paraId="6537C30F" w14:textId="77777777" w:rsidR="001E4C64" w:rsidRPr="0000434E" w:rsidRDefault="001E4C64" w:rsidP="001E4C64">
      <w:pPr>
        <w:jc w:val="center"/>
      </w:pPr>
    </w:p>
    <w:p w14:paraId="4F6D8885" w14:textId="77777777" w:rsidR="001E4C64" w:rsidRPr="0000434E" w:rsidRDefault="001E4C64" w:rsidP="001E4C64">
      <w:pPr>
        <w:jc w:val="center"/>
      </w:pPr>
    </w:p>
    <w:p w14:paraId="042A9631" w14:textId="77777777" w:rsidR="001E4C64" w:rsidRPr="0000434E" w:rsidRDefault="001E4C64" w:rsidP="001E4C64">
      <w:pPr>
        <w:jc w:val="center"/>
      </w:pPr>
    </w:p>
    <w:p w14:paraId="0C9F29EA" w14:textId="77777777" w:rsidR="001E4C64" w:rsidRPr="0000434E" w:rsidRDefault="001E4C64" w:rsidP="001E4C64">
      <w:pPr>
        <w:jc w:val="center"/>
      </w:pPr>
    </w:p>
    <w:p w14:paraId="15323BAF" w14:textId="77777777" w:rsidR="001E4C64" w:rsidRPr="0000434E" w:rsidRDefault="001E4C64" w:rsidP="001E4C64">
      <w:pPr>
        <w:jc w:val="center"/>
      </w:pPr>
    </w:p>
    <w:p w14:paraId="758A55ED" w14:textId="77777777" w:rsidR="00E95568" w:rsidRPr="0000434E" w:rsidRDefault="003E0AD7" w:rsidP="001E4C64">
      <w:pPr>
        <w:jc w:val="center"/>
        <w:rPr>
          <w:sz w:val="32"/>
          <w:szCs w:val="32"/>
        </w:rPr>
      </w:pPr>
      <w:r w:rsidRPr="0000434E">
        <w:rPr>
          <w:sz w:val="32"/>
          <w:szCs w:val="32"/>
        </w:rPr>
        <w:t xml:space="preserve">PROJETO INTEGRADOR III-B: </w:t>
      </w:r>
    </w:p>
    <w:p w14:paraId="748F89F2" w14:textId="3C61230C" w:rsidR="001E4C64" w:rsidRPr="0000434E" w:rsidRDefault="003E0AD7" w:rsidP="001E4C64">
      <w:pPr>
        <w:jc w:val="center"/>
        <w:rPr>
          <w:sz w:val="32"/>
          <w:szCs w:val="32"/>
        </w:rPr>
      </w:pPr>
      <w:r w:rsidRPr="0000434E">
        <w:rPr>
          <w:sz w:val="32"/>
          <w:szCs w:val="32"/>
        </w:rPr>
        <w:t>DESENVOLVIMENTO DE SISTEMA PREDITIVO DE INFLAÇÃO ALIMENTAR (IPC-FIPE) UTILIZANDO REDES NEURAIS RECORRENTES E DEEP LEARNING</w:t>
      </w:r>
    </w:p>
    <w:p w14:paraId="7C012271" w14:textId="77777777" w:rsidR="001E4C64" w:rsidRPr="0000434E" w:rsidRDefault="001E4C64" w:rsidP="001E4C64">
      <w:pPr>
        <w:jc w:val="center"/>
        <w:rPr>
          <w:sz w:val="32"/>
          <w:szCs w:val="32"/>
        </w:rPr>
      </w:pPr>
    </w:p>
    <w:p w14:paraId="78F222F9" w14:textId="77777777" w:rsidR="001E4C64" w:rsidRPr="0000434E" w:rsidRDefault="001E4C64" w:rsidP="001E4C64">
      <w:pPr>
        <w:jc w:val="center"/>
        <w:rPr>
          <w:sz w:val="32"/>
          <w:szCs w:val="32"/>
        </w:rPr>
      </w:pPr>
    </w:p>
    <w:p w14:paraId="0AA6912E" w14:textId="77777777" w:rsidR="001E4C64" w:rsidRPr="0000434E" w:rsidRDefault="001E4C64" w:rsidP="001E4C64">
      <w:pPr>
        <w:jc w:val="center"/>
        <w:rPr>
          <w:sz w:val="32"/>
          <w:szCs w:val="32"/>
        </w:rPr>
      </w:pPr>
    </w:p>
    <w:p w14:paraId="5C6F2CF0" w14:textId="77777777" w:rsidR="001E4C64" w:rsidRPr="0000434E" w:rsidRDefault="001E4C64" w:rsidP="001E4C64">
      <w:pPr>
        <w:jc w:val="center"/>
        <w:rPr>
          <w:sz w:val="32"/>
          <w:szCs w:val="32"/>
        </w:rPr>
      </w:pPr>
    </w:p>
    <w:p w14:paraId="391BEE9B" w14:textId="77777777" w:rsidR="001E4C64" w:rsidRPr="0000434E" w:rsidRDefault="001E4C64" w:rsidP="001E4C64">
      <w:pPr>
        <w:jc w:val="center"/>
        <w:rPr>
          <w:sz w:val="32"/>
          <w:szCs w:val="32"/>
        </w:rPr>
      </w:pPr>
    </w:p>
    <w:p w14:paraId="5B451467" w14:textId="77777777" w:rsidR="001E4C64" w:rsidRPr="0000434E" w:rsidRDefault="001E4C64" w:rsidP="001E4C64">
      <w:pPr>
        <w:jc w:val="center"/>
        <w:rPr>
          <w:sz w:val="32"/>
          <w:szCs w:val="32"/>
        </w:rPr>
      </w:pPr>
    </w:p>
    <w:p w14:paraId="40DFB8D9" w14:textId="77777777" w:rsidR="001E4C64" w:rsidRPr="0000434E" w:rsidRDefault="001E4C64" w:rsidP="001E4C64">
      <w:pPr>
        <w:jc w:val="center"/>
        <w:rPr>
          <w:sz w:val="32"/>
          <w:szCs w:val="32"/>
        </w:rPr>
      </w:pPr>
    </w:p>
    <w:p w14:paraId="1ACFE23E" w14:textId="77777777" w:rsidR="001E4C64" w:rsidRPr="0000434E" w:rsidRDefault="001E4C64" w:rsidP="001E4C64">
      <w:pPr>
        <w:jc w:val="center"/>
        <w:rPr>
          <w:sz w:val="32"/>
          <w:szCs w:val="32"/>
        </w:rPr>
      </w:pPr>
    </w:p>
    <w:p w14:paraId="1DA821D5" w14:textId="77777777" w:rsidR="001E4C64" w:rsidRPr="0000434E" w:rsidRDefault="001E4C64" w:rsidP="001E4C64">
      <w:pPr>
        <w:rPr>
          <w:sz w:val="32"/>
          <w:szCs w:val="32"/>
        </w:rPr>
      </w:pPr>
    </w:p>
    <w:p w14:paraId="3A1F9822" w14:textId="0EEC0794" w:rsidR="001E4C64" w:rsidRPr="0000434E" w:rsidRDefault="001E4C64" w:rsidP="001E4C64">
      <w:pPr>
        <w:jc w:val="center"/>
      </w:pPr>
      <w:proofErr w:type="spellStart"/>
      <w:r w:rsidRPr="0000434E">
        <w:t>Rairon</w:t>
      </w:r>
      <w:proofErr w:type="spellEnd"/>
      <w:r w:rsidRPr="0000434E">
        <w:t xml:space="preserve"> Braga, Victor Gabriel </w:t>
      </w:r>
    </w:p>
    <w:p w14:paraId="06693320" w14:textId="2ECABBAC" w:rsidR="0000434E" w:rsidRPr="0000434E" w:rsidRDefault="001E4C64" w:rsidP="000B070F">
      <w:pPr>
        <w:jc w:val="center"/>
      </w:pPr>
      <w:r w:rsidRPr="0000434E">
        <w:t>Goiânia – 2025</w:t>
      </w:r>
    </w:p>
    <w:p w14:paraId="4F814F44" w14:textId="1FBCFA08" w:rsidR="0000434E" w:rsidRPr="0000434E" w:rsidRDefault="0000434E" w:rsidP="0000434E">
      <w:r w:rsidRPr="0000434E">
        <w:br w:type="page"/>
      </w:r>
    </w:p>
    <w:sdt>
      <w:sdtPr>
        <w:rPr>
          <w:rFonts w:asciiTheme="minorHAnsi" w:eastAsiaTheme="minorHAnsi" w:hAnsiTheme="minorHAnsi" w:cstheme="minorBidi"/>
          <w:color w:val="auto"/>
          <w:kern w:val="2"/>
          <w:sz w:val="24"/>
          <w:szCs w:val="24"/>
          <w:lang w:eastAsia="en-US"/>
          <w14:ligatures w14:val="standardContextual"/>
        </w:rPr>
        <w:id w:val="1715455105"/>
        <w:docPartObj>
          <w:docPartGallery w:val="Table of Contents"/>
          <w:docPartUnique/>
        </w:docPartObj>
      </w:sdtPr>
      <w:sdtContent>
        <w:p w14:paraId="448CE6E8" w14:textId="15406347" w:rsidR="0000434E" w:rsidRPr="0000434E" w:rsidRDefault="0000434E">
          <w:pPr>
            <w:pStyle w:val="CabealhodoSumrio"/>
          </w:pPr>
          <w:r w:rsidRPr="0000434E">
            <w:t>Sumário</w:t>
          </w:r>
        </w:p>
        <w:p w14:paraId="6BD7D2C5" w14:textId="68FFFF73" w:rsidR="0000434E" w:rsidRDefault="0000434E">
          <w:pPr>
            <w:pStyle w:val="Sumrio1"/>
            <w:tabs>
              <w:tab w:val="right" w:leader="dot" w:pos="8494"/>
            </w:tabs>
            <w:rPr>
              <w:rFonts w:eastAsiaTheme="minorEastAsia"/>
              <w:noProof/>
              <w:lang w:eastAsia="pt-BR"/>
            </w:rPr>
          </w:pPr>
          <w:r w:rsidRPr="0000434E">
            <w:fldChar w:fldCharType="begin"/>
          </w:r>
          <w:r w:rsidRPr="0000434E">
            <w:instrText xml:space="preserve"> TOC \o "1-3" \h \z \u </w:instrText>
          </w:r>
          <w:r w:rsidRPr="0000434E">
            <w:fldChar w:fldCharType="separate"/>
          </w:r>
          <w:hyperlink w:anchor="_Toc214993533" w:history="1">
            <w:r w:rsidRPr="00105EAB">
              <w:rPr>
                <w:rStyle w:val="Hyperlink"/>
                <w:noProof/>
              </w:rPr>
              <w:t>I - Introdução</w:t>
            </w:r>
            <w:r>
              <w:rPr>
                <w:noProof/>
                <w:webHidden/>
              </w:rPr>
              <w:tab/>
            </w:r>
            <w:r>
              <w:rPr>
                <w:noProof/>
                <w:webHidden/>
              </w:rPr>
              <w:fldChar w:fldCharType="begin"/>
            </w:r>
            <w:r>
              <w:rPr>
                <w:noProof/>
                <w:webHidden/>
              </w:rPr>
              <w:instrText xml:space="preserve"> PAGEREF _Toc214993533 \h </w:instrText>
            </w:r>
            <w:r>
              <w:rPr>
                <w:noProof/>
                <w:webHidden/>
              </w:rPr>
            </w:r>
            <w:r>
              <w:rPr>
                <w:noProof/>
                <w:webHidden/>
              </w:rPr>
              <w:fldChar w:fldCharType="separate"/>
            </w:r>
            <w:r>
              <w:rPr>
                <w:noProof/>
                <w:webHidden/>
              </w:rPr>
              <w:t>3</w:t>
            </w:r>
            <w:r>
              <w:rPr>
                <w:noProof/>
                <w:webHidden/>
              </w:rPr>
              <w:fldChar w:fldCharType="end"/>
            </w:r>
          </w:hyperlink>
        </w:p>
        <w:p w14:paraId="51BDC9EC" w14:textId="22F5B793" w:rsidR="0000434E" w:rsidRDefault="0000434E">
          <w:pPr>
            <w:pStyle w:val="Sumrio1"/>
            <w:tabs>
              <w:tab w:val="right" w:leader="dot" w:pos="8494"/>
            </w:tabs>
            <w:rPr>
              <w:rFonts w:eastAsiaTheme="minorEastAsia"/>
              <w:noProof/>
              <w:lang w:eastAsia="pt-BR"/>
            </w:rPr>
          </w:pPr>
          <w:hyperlink w:anchor="_Toc214993534" w:history="1">
            <w:r w:rsidRPr="00105EAB">
              <w:rPr>
                <w:rStyle w:val="Hyperlink"/>
                <w:noProof/>
              </w:rPr>
              <w:t>II - Contextualização do Problema e Motivação</w:t>
            </w:r>
            <w:r>
              <w:rPr>
                <w:noProof/>
                <w:webHidden/>
              </w:rPr>
              <w:tab/>
            </w:r>
            <w:r>
              <w:rPr>
                <w:noProof/>
                <w:webHidden/>
              </w:rPr>
              <w:fldChar w:fldCharType="begin"/>
            </w:r>
            <w:r>
              <w:rPr>
                <w:noProof/>
                <w:webHidden/>
              </w:rPr>
              <w:instrText xml:space="preserve"> PAGEREF _Toc214993534 \h </w:instrText>
            </w:r>
            <w:r>
              <w:rPr>
                <w:noProof/>
                <w:webHidden/>
              </w:rPr>
            </w:r>
            <w:r>
              <w:rPr>
                <w:noProof/>
                <w:webHidden/>
              </w:rPr>
              <w:fldChar w:fldCharType="separate"/>
            </w:r>
            <w:r>
              <w:rPr>
                <w:noProof/>
                <w:webHidden/>
              </w:rPr>
              <w:t>4</w:t>
            </w:r>
            <w:r>
              <w:rPr>
                <w:noProof/>
                <w:webHidden/>
              </w:rPr>
              <w:fldChar w:fldCharType="end"/>
            </w:r>
          </w:hyperlink>
        </w:p>
        <w:p w14:paraId="78F85466" w14:textId="03D71A40" w:rsidR="0000434E" w:rsidRDefault="0000434E">
          <w:pPr>
            <w:pStyle w:val="Sumrio1"/>
            <w:tabs>
              <w:tab w:val="right" w:leader="dot" w:pos="8494"/>
            </w:tabs>
            <w:rPr>
              <w:rFonts w:eastAsiaTheme="minorEastAsia"/>
              <w:noProof/>
              <w:lang w:eastAsia="pt-BR"/>
            </w:rPr>
          </w:pPr>
          <w:hyperlink w:anchor="_Toc214993535" w:history="1">
            <w:r w:rsidRPr="00105EAB">
              <w:rPr>
                <w:rStyle w:val="Hyperlink"/>
                <w:noProof/>
              </w:rPr>
              <w:t>III - Definição do Parceiro Extensionista e Stakeholders</w:t>
            </w:r>
            <w:r>
              <w:rPr>
                <w:noProof/>
                <w:webHidden/>
              </w:rPr>
              <w:tab/>
            </w:r>
            <w:r>
              <w:rPr>
                <w:noProof/>
                <w:webHidden/>
              </w:rPr>
              <w:fldChar w:fldCharType="begin"/>
            </w:r>
            <w:r>
              <w:rPr>
                <w:noProof/>
                <w:webHidden/>
              </w:rPr>
              <w:instrText xml:space="preserve"> PAGEREF _Toc214993535 \h </w:instrText>
            </w:r>
            <w:r>
              <w:rPr>
                <w:noProof/>
                <w:webHidden/>
              </w:rPr>
            </w:r>
            <w:r>
              <w:rPr>
                <w:noProof/>
                <w:webHidden/>
              </w:rPr>
              <w:fldChar w:fldCharType="separate"/>
            </w:r>
            <w:r>
              <w:rPr>
                <w:noProof/>
                <w:webHidden/>
              </w:rPr>
              <w:t>5</w:t>
            </w:r>
            <w:r>
              <w:rPr>
                <w:noProof/>
                <w:webHidden/>
              </w:rPr>
              <w:fldChar w:fldCharType="end"/>
            </w:r>
          </w:hyperlink>
        </w:p>
        <w:p w14:paraId="69CABBF2" w14:textId="76CC3A56" w:rsidR="0000434E" w:rsidRDefault="0000434E">
          <w:pPr>
            <w:pStyle w:val="Sumrio2"/>
            <w:tabs>
              <w:tab w:val="right" w:leader="dot" w:pos="8494"/>
            </w:tabs>
            <w:rPr>
              <w:rFonts w:eastAsiaTheme="minorEastAsia"/>
              <w:noProof/>
              <w:lang w:eastAsia="pt-BR"/>
            </w:rPr>
          </w:pPr>
          <w:hyperlink w:anchor="_Toc214993536" w:history="1">
            <w:r w:rsidRPr="00105EAB">
              <w:rPr>
                <w:rStyle w:val="Hyperlink"/>
                <w:noProof/>
              </w:rPr>
              <w:t>III.I - Os Stakeholders do Projeto:</w:t>
            </w:r>
            <w:r>
              <w:rPr>
                <w:noProof/>
                <w:webHidden/>
              </w:rPr>
              <w:tab/>
            </w:r>
            <w:r>
              <w:rPr>
                <w:noProof/>
                <w:webHidden/>
              </w:rPr>
              <w:fldChar w:fldCharType="begin"/>
            </w:r>
            <w:r>
              <w:rPr>
                <w:noProof/>
                <w:webHidden/>
              </w:rPr>
              <w:instrText xml:space="preserve"> PAGEREF _Toc214993536 \h </w:instrText>
            </w:r>
            <w:r>
              <w:rPr>
                <w:noProof/>
                <w:webHidden/>
              </w:rPr>
            </w:r>
            <w:r>
              <w:rPr>
                <w:noProof/>
                <w:webHidden/>
              </w:rPr>
              <w:fldChar w:fldCharType="separate"/>
            </w:r>
            <w:r>
              <w:rPr>
                <w:noProof/>
                <w:webHidden/>
              </w:rPr>
              <w:t>5</w:t>
            </w:r>
            <w:r>
              <w:rPr>
                <w:noProof/>
                <w:webHidden/>
              </w:rPr>
              <w:fldChar w:fldCharType="end"/>
            </w:r>
          </w:hyperlink>
        </w:p>
        <w:p w14:paraId="21992C86" w14:textId="1F4E9D8F" w:rsidR="0000434E" w:rsidRDefault="0000434E">
          <w:pPr>
            <w:pStyle w:val="Sumrio1"/>
            <w:tabs>
              <w:tab w:val="right" w:leader="dot" w:pos="8494"/>
            </w:tabs>
            <w:rPr>
              <w:rFonts w:eastAsiaTheme="minorEastAsia"/>
              <w:noProof/>
              <w:lang w:eastAsia="pt-BR"/>
            </w:rPr>
          </w:pPr>
          <w:hyperlink w:anchor="_Toc214993537" w:history="1">
            <w:r w:rsidRPr="00105EAB">
              <w:rPr>
                <w:rStyle w:val="Hyperlink"/>
                <w:noProof/>
              </w:rPr>
              <w:t>IV - Objetivos do Projeto</w:t>
            </w:r>
            <w:r>
              <w:rPr>
                <w:noProof/>
                <w:webHidden/>
              </w:rPr>
              <w:tab/>
            </w:r>
            <w:r>
              <w:rPr>
                <w:noProof/>
                <w:webHidden/>
              </w:rPr>
              <w:fldChar w:fldCharType="begin"/>
            </w:r>
            <w:r>
              <w:rPr>
                <w:noProof/>
                <w:webHidden/>
              </w:rPr>
              <w:instrText xml:space="preserve"> PAGEREF _Toc214993537 \h </w:instrText>
            </w:r>
            <w:r>
              <w:rPr>
                <w:noProof/>
                <w:webHidden/>
              </w:rPr>
            </w:r>
            <w:r>
              <w:rPr>
                <w:noProof/>
                <w:webHidden/>
              </w:rPr>
              <w:fldChar w:fldCharType="separate"/>
            </w:r>
            <w:r>
              <w:rPr>
                <w:noProof/>
                <w:webHidden/>
              </w:rPr>
              <w:t>6</w:t>
            </w:r>
            <w:r>
              <w:rPr>
                <w:noProof/>
                <w:webHidden/>
              </w:rPr>
              <w:fldChar w:fldCharType="end"/>
            </w:r>
          </w:hyperlink>
        </w:p>
        <w:p w14:paraId="0C4DE2F4" w14:textId="4B1F3158" w:rsidR="0000434E" w:rsidRDefault="0000434E">
          <w:pPr>
            <w:pStyle w:val="Sumrio1"/>
            <w:tabs>
              <w:tab w:val="right" w:leader="dot" w:pos="8494"/>
            </w:tabs>
            <w:rPr>
              <w:rFonts w:eastAsiaTheme="minorEastAsia"/>
              <w:noProof/>
              <w:lang w:eastAsia="pt-BR"/>
            </w:rPr>
          </w:pPr>
          <w:hyperlink w:anchor="_Toc214993538" w:history="1">
            <w:r w:rsidRPr="00105EAB">
              <w:rPr>
                <w:rStyle w:val="Hyperlink"/>
                <w:noProof/>
              </w:rPr>
              <w:t>V - Fundamentação Teórica e Estado da Arte</w:t>
            </w:r>
            <w:r>
              <w:rPr>
                <w:noProof/>
                <w:webHidden/>
              </w:rPr>
              <w:tab/>
            </w:r>
            <w:r>
              <w:rPr>
                <w:noProof/>
                <w:webHidden/>
              </w:rPr>
              <w:fldChar w:fldCharType="begin"/>
            </w:r>
            <w:r>
              <w:rPr>
                <w:noProof/>
                <w:webHidden/>
              </w:rPr>
              <w:instrText xml:space="preserve"> PAGEREF _Toc214993538 \h </w:instrText>
            </w:r>
            <w:r>
              <w:rPr>
                <w:noProof/>
                <w:webHidden/>
              </w:rPr>
            </w:r>
            <w:r>
              <w:rPr>
                <w:noProof/>
                <w:webHidden/>
              </w:rPr>
              <w:fldChar w:fldCharType="separate"/>
            </w:r>
            <w:r>
              <w:rPr>
                <w:noProof/>
                <w:webHidden/>
              </w:rPr>
              <w:t>7</w:t>
            </w:r>
            <w:r>
              <w:rPr>
                <w:noProof/>
                <w:webHidden/>
              </w:rPr>
              <w:fldChar w:fldCharType="end"/>
            </w:r>
          </w:hyperlink>
        </w:p>
        <w:p w14:paraId="23086F0D" w14:textId="634B2D3D" w:rsidR="0000434E" w:rsidRDefault="0000434E">
          <w:pPr>
            <w:pStyle w:val="Sumrio2"/>
            <w:tabs>
              <w:tab w:val="right" w:leader="dot" w:pos="8494"/>
            </w:tabs>
            <w:rPr>
              <w:rFonts w:eastAsiaTheme="minorEastAsia"/>
              <w:noProof/>
              <w:lang w:eastAsia="pt-BR"/>
            </w:rPr>
          </w:pPr>
          <w:hyperlink w:anchor="_Toc214993539" w:history="1">
            <w:r w:rsidRPr="00105EAB">
              <w:rPr>
                <w:rStyle w:val="Hyperlink"/>
                <w:noProof/>
              </w:rPr>
              <w:t>V.I - A Dinâmica da Inflação e o IPC-Fipe</w:t>
            </w:r>
            <w:r>
              <w:rPr>
                <w:noProof/>
                <w:webHidden/>
              </w:rPr>
              <w:tab/>
            </w:r>
            <w:r>
              <w:rPr>
                <w:noProof/>
                <w:webHidden/>
              </w:rPr>
              <w:fldChar w:fldCharType="begin"/>
            </w:r>
            <w:r>
              <w:rPr>
                <w:noProof/>
                <w:webHidden/>
              </w:rPr>
              <w:instrText xml:space="preserve"> PAGEREF _Toc214993539 \h </w:instrText>
            </w:r>
            <w:r>
              <w:rPr>
                <w:noProof/>
                <w:webHidden/>
              </w:rPr>
            </w:r>
            <w:r>
              <w:rPr>
                <w:noProof/>
                <w:webHidden/>
              </w:rPr>
              <w:fldChar w:fldCharType="separate"/>
            </w:r>
            <w:r>
              <w:rPr>
                <w:noProof/>
                <w:webHidden/>
              </w:rPr>
              <w:t>7</w:t>
            </w:r>
            <w:r>
              <w:rPr>
                <w:noProof/>
                <w:webHidden/>
              </w:rPr>
              <w:fldChar w:fldCharType="end"/>
            </w:r>
          </w:hyperlink>
        </w:p>
        <w:p w14:paraId="15991958" w14:textId="42BAA19B" w:rsidR="0000434E" w:rsidRDefault="0000434E">
          <w:pPr>
            <w:pStyle w:val="Sumrio2"/>
            <w:tabs>
              <w:tab w:val="right" w:leader="dot" w:pos="8494"/>
            </w:tabs>
            <w:rPr>
              <w:rFonts w:eastAsiaTheme="minorEastAsia"/>
              <w:noProof/>
              <w:lang w:eastAsia="pt-BR"/>
            </w:rPr>
          </w:pPr>
          <w:hyperlink w:anchor="_Toc214993540" w:history="1">
            <w:r w:rsidRPr="00105EAB">
              <w:rPr>
                <w:rStyle w:val="Hyperlink"/>
                <w:noProof/>
              </w:rPr>
              <w:t>V.II - Modelagem de Séries Temporais: Do ARIMA ao Deep Learning</w:t>
            </w:r>
            <w:r>
              <w:rPr>
                <w:noProof/>
                <w:webHidden/>
              </w:rPr>
              <w:tab/>
            </w:r>
            <w:r>
              <w:rPr>
                <w:noProof/>
                <w:webHidden/>
              </w:rPr>
              <w:fldChar w:fldCharType="begin"/>
            </w:r>
            <w:r>
              <w:rPr>
                <w:noProof/>
                <w:webHidden/>
              </w:rPr>
              <w:instrText xml:space="preserve"> PAGEREF _Toc214993540 \h </w:instrText>
            </w:r>
            <w:r>
              <w:rPr>
                <w:noProof/>
                <w:webHidden/>
              </w:rPr>
            </w:r>
            <w:r>
              <w:rPr>
                <w:noProof/>
                <w:webHidden/>
              </w:rPr>
              <w:fldChar w:fldCharType="separate"/>
            </w:r>
            <w:r>
              <w:rPr>
                <w:noProof/>
                <w:webHidden/>
              </w:rPr>
              <w:t>7</w:t>
            </w:r>
            <w:r>
              <w:rPr>
                <w:noProof/>
                <w:webHidden/>
              </w:rPr>
              <w:fldChar w:fldCharType="end"/>
            </w:r>
          </w:hyperlink>
        </w:p>
        <w:p w14:paraId="2D6E13B8" w14:textId="1FCA4220" w:rsidR="0000434E" w:rsidRDefault="0000434E">
          <w:pPr>
            <w:pStyle w:val="Sumrio1"/>
            <w:tabs>
              <w:tab w:val="right" w:leader="dot" w:pos="8494"/>
            </w:tabs>
            <w:rPr>
              <w:rFonts w:eastAsiaTheme="minorEastAsia"/>
              <w:noProof/>
              <w:lang w:eastAsia="pt-BR"/>
            </w:rPr>
          </w:pPr>
          <w:hyperlink w:anchor="_Toc214993541" w:history="1">
            <w:r w:rsidRPr="00105EAB">
              <w:rPr>
                <w:rStyle w:val="Hyperlink"/>
                <w:noProof/>
              </w:rPr>
              <w:t>VI - Análise Exploratória de Dados (Data Mining) e Contextualização Histórica</w:t>
            </w:r>
            <w:r>
              <w:rPr>
                <w:noProof/>
                <w:webHidden/>
              </w:rPr>
              <w:tab/>
            </w:r>
            <w:r>
              <w:rPr>
                <w:noProof/>
                <w:webHidden/>
              </w:rPr>
              <w:fldChar w:fldCharType="begin"/>
            </w:r>
            <w:r>
              <w:rPr>
                <w:noProof/>
                <w:webHidden/>
              </w:rPr>
              <w:instrText xml:space="preserve"> PAGEREF _Toc214993541 \h </w:instrText>
            </w:r>
            <w:r>
              <w:rPr>
                <w:noProof/>
                <w:webHidden/>
              </w:rPr>
            </w:r>
            <w:r>
              <w:rPr>
                <w:noProof/>
                <w:webHidden/>
              </w:rPr>
              <w:fldChar w:fldCharType="separate"/>
            </w:r>
            <w:r>
              <w:rPr>
                <w:noProof/>
                <w:webHidden/>
              </w:rPr>
              <w:t>11</w:t>
            </w:r>
            <w:r>
              <w:rPr>
                <w:noProof/>
                <w:webHidden/>
              </w:rPr>
              <w:fldChar w:fldCharType="end"/>
            </w:r>
          </w:hyperlink>
        </w:p>
        <w:p w14:paraId="6C8325D3" w14:textId="72F75002" w:rsidR="0000434E" w:rsidRPr="0000434E" w:rsidRDefault="0000434E">
          <w:r w:rsidRPr="0000434E">
            <w:fldChar w:fldCharType="end"/>
          </w:r>
        </w:p>
      </w:sdtContent>
    </w:sdt>
    <w:p w14:paraId="07ACFE22" w14:textId="77777777" w:rsidR="0000434E" w:rsidRPr="0000434E" w:rsidRDefault="0000434E" w:rsidP="0000434E">
      <w:pPr>
        <w:pStyle w:val="Ttulo1"/>
      </w:pPr>
    </w:p>
    <w:p w14:paraId="1DC63DFE" w14:textId="643C0CB7" w:rsidR="0000434E" w:rsidRPr="0000434E" w:rsidRDefault="0000434E">
      <w:pPr>
        <w:rPr>
          <w:rFonts w:asciiTheme="majorHAnsi" w:eastAsiaTheme="majorEastAsia" w:hAnsiTheme="majorHAnsi" w:cstheme="majorBidi"/>
          <w:color w:val="0F4761" w:themeColor="accent1" w:themeShade="BF"/>
          <w:sz w:val="40"/>
          <w:szCs w:val="40"/>
        </w:rPr>
      </w:pPr>
      <w:r w:rsidRPr="0000434E">
        <w:br w:type="page"/>
      </w:r>
    </w:p>
    <w:p w14:paraId="3E64B996" w14:textId="13386367" w:rsidR="003E0AD7" w:rsidRPr="0000434E" w:rsidRDefault="0000434E" w:rsidP="0000434E">
      <w:pPr>
        <w:pStyle w:val="Ttulo1"/>
      </w:pPr>
      <w:bookmarkStart w:id="0" w:name="_Toc214993533"/>
      <w:r>
        <w:lastRenderedPageBreak/>
        <w:t xml:space="preserve">I - </w:t>
      </w:r>
      <w:r w:rsidR="003E0AD7" w:rsidRPr="0000434E">
        <w:t>Introdução</w:t>
      </w:r>
      <w:bookmarkEnd w:id="0"/>
    </w:p>
    <w:p w14:paraId="33A42F1C" w14:textId="77777777" w:rsidR="003E0AD7" w:rsidRPr="0000434E" w:rsidRDefault="003E0AD7" w:rsidP="003E0AD7">
      <w:pPr>
        <w:jc w:val="both"/>
      </w:pPr>
      <w:r w:rsidRPr="0000434E">
        <w:t>A estabilidade econômica e a previsibilidade dos preços dos alimentos constituem pilares fundamentais para o desenvolvimento socioeconômico de qualquer nação, mas assumem um caráter de urgência crítica no contexto brasileiro, marcado historicamente por ciclos de hiperinflação, planos de estabilização monetária e, mais recentemente, choques de oferta globais. A inflação, especificamente no grupo de alimentação, não é apenas um indicador macroeconômico abstrato; ela representa o vetor de maior impacto na qualidade de vida das famílias de baixa renda e na operacionalização da segurança alimentar. A capacidade de antecipar movimentos inflacionários neste setor transcende o interesse acadêmico ou especulativo, convertendo-se em uma ferramenta vital para a gestão de políticas públicas, para a sustentabilidade do varejo de vizinhança e, crucialmente, para a eficácia de organizações do terceiro setor dedicadas ao combate à fome.</w:t>
      </w:r>
    </w:p>
    <w:p w14:paraId="3CB00AB5" w14:textId="77777777" w:rsidR="003E0AD7" w:rsidRPr="0000434E" w:rsidRDefault="003E0AD7" w:rsidP="003E0AD7">
      <w:pPr>
        <w:jc w:val="both"/>
      </w:pPr>
    </w:p>
    <w:p w14:paraId="5CBA6EA8" w14:textId="679434BD" w:rsidR="003E0AD7" w:rsidRPr="0000434E" w:rsidRDefault="003E0AD7" w:rsidP="003E0AD7">
      <w:pPr>
        <w:jc w:val="both"/>
      </w:pPr>
      <w:r w:rsidRPr="0000434E">
        <w:t xml:space="preserve">Este relatório técnico apresenta a proposta completa e o desenvolvimento do Projeto Integrador III-B, em estrita conformidade com as diretrizes acadêmicas e metodológicas estabelecidas. O objetivo central é a construção de uma solução de Inteligência Artificial baseada em </w:t>
      </w:r>
      <w:proofErr w:type="spellStart"/>
      <w:r w:rsidRPr="0000434E">
        <w:t>Deep</w:t>
      </w:r>
      <w:proofErr w:type="spellEnd"/>
      <w:r w:rsidRPr="0000434E">
        <w:t xml:space="preserve"> Learning para a previsão da variação mensal do Índice de Preços ao Consumidor (IPC) da Fundação Instituto de Pesquisas Econômicas (Fipe), com foco exclusivo no grupo "Alimentação". A base de dados primária aquirida na base de dados pública do Banco Cent</w:t>
      </w:r>
      <w:r w:rsidR="00F5120B">
        <w:t>r</w:t>
      </w:r>
      <w:r w:rsidRPr="0000434E">
        <w:t>al, esta base fornece uma série temporal robusta e extensa, cobrindo o período de janeiro de 1997 a outubro de 2025, o que permite uma análise profunda das dinâmicas de preços sob diferentes regimes econômicos e governamentais.</w:t>
      </w:r>
    </w:p>
    <w:p w14:paraId="3EF7D0F7" w14:textId="77777777" w:rsidR="003E0AD7" w:rsidRPr="0000434E" w:rsidRDefault="003E0AD7">
      <w:r w:rsidRPr="0000434E">
        <w:br w:type="page"/>
      </w:r>
    </w:p>
    <w:p w14:paraId="271AAF9A" w14:textId="108BC89D" w:rsidR="003E0AD7" w:rsidRPr="0000434E" w:rsidRDefault="0000434E" w:rsidP="0000434E">
      <w:pPr>
        <w:pStyle w:val="Ttulo1"/>
      </w:pPr>
      <w:bookmarkStart w:id="1" w:name="_Toc214993534"/>
      <w:r>
        <w:lastRenderedPageBreak/>
        <w:t xml:space="preserve">II - </w:t>
      </w:r>
      <w:r w:rsidR="003E0AD7" w:rsidRPr="0000434E">
        <w:t>Contextualização do Problema e Motivação</w:t>
      </w:r>
      <w:bookmarkEnd w:id="1"/>
    </w:p>
    <w:p w14:paraId="79FD31B8" w14:textId="18E8A452" w:rsidR="00381BDF" w:rsidRPr="0000434E" w:rsidRDefault="00381BDF" w:rsidP="00381BDF">
      <w:pPr>
        <w:jc w:val="both"/>
      </w:pPr>
      <w:r w:rsidRPr="0000434E">
        <w:t xml:space="preserve">A inflação de alimentos no Brasil possui características </w:t>
      </w:r>
      <w:r w:rsidR="009672CF" w:rsidRPr="0000434E">
        <w:t>peculiares</w:t>
      </w:r>
      <w:r w:rsidRPr="0000434E">
        <w:t xml:space="preserve"> que desafiam os modelos de previsão lineares tradicionais. Diferente da inflação de serviços, que tende a apresentar uma inércia mais previsível ligada a indexadores contratuais, a inflação de alimentos é altamente volátil, influenciada por fatores climáticos, choques cambiais (dado o caráter exportador das </w:t>
      </w:r>
      <w:r w:rsidRPr="0000434E">
        <w:rPr>
          <w:i/>
          <w:iCs/>
        </w:rPr>
        <w:t>commodities</w:t>
      </w:r>
      <w:r w:rsidRPr="0000434E">
        <w:t> brasileiras) e rupturas nas cadeias de suprimentos globais, como as observadas durante a pandemia de COVID-19 e conflitos geopolíticos recentes.   </w:t>
      </w:r>
    </w:p>
    <w:p w14:paraId="016947C6" w14:textId="31CD4A81" w:rsidR="00381BDF" w:rsidRPr="0000434E" w:rsidRDefault="00381BDF" w:rsidP="00381BDF">
      <w:pPr>
        <w:jc w:val="both"/>
      </w:pPr>
      <w:r w:rsidRPr="0000434E">
        <w:t>O Índice de Preços ao Consumidor da Fipe (IPC-Fipe) é particularmente relevante para esta análise. Ao contrário do IPCA (Índice Nacional de Preços ao Consumidor Amplo), que abrange famílias com renda de 1 a 40 salários</w:t>
      </w:r>
      <w:r w:rsidR="009672CF">
        <w:t>-</w:t>
      </w:r>
      <w:r w:rsidRPr="0000434E">
        <w:t xml:space="preserve">mínimos em diversas regiões metropolitanas, o IPC-Fipe foca nas famílias paulistanas com renda de 1 a 10 </w:t>
      </w:r>
      <w:r w:rsidR="009672CF" w:rsidRPr="0000434E">
        <w:t>salários-mínimos</w:t>
      </w:r>
      <w:r w:rsidRPr="0000434E">
        <w:t>. Esta faixa de renda compromete uma parcela significativamente maior do seu orçamento com alimentação. Portanto, oscilações neste índice têm um efeito desproporcionalmente severo sobre a vulnerabilidade social na maior metrópole do hemisfério sul. A metodologia da Fipe, que coleta preços diariamente e calcula variações quadrissemanais, captura a "temperatura" do varejo com alta sensibilidade, tornando a previsão deste índice um desafio complexo.   </w:t>
      </w:r>
    </w:p>
    <w:p w14:paraId="1A31D156" w14:textId="47FD4E35" w:rsidR="00381BDF" w:rsidRPr="0000434E" w:rsidRDefault="00381BDF" w:rsidP="00381BDF">
      <w:pPr>
        <w:jc w:val="both"/>
      </w:pPr>
      <w:r w:rsidRPr="0000434E">
        <w:t>A motivação técnica para o uso de </w:t>
      </w:r>
      <w:proofErr w:type="spellStart"/>
      <w:r w:rsidRPr="0000434E">
        <w:rPr>
          <w:i/>
          <w:iCs/>
        </w:rPr>
        <w:t>Deep</w:t>
      </w:r>
      <w:proofErr w:type="spellEnd"/>
      <w:r w:rsidRPr="0000434E">
        <w:rPr>
          <w:i/>
          <w:iCs/>
        </w:rPr>
        <w:t xml:space="preserve"> Learning</w:t>
      </w:r>
      <w:r w:rsidRPr="0000434E">
        <w:t>, especificamente redes </w:t>
      </w:r>
      <w:proofErr w:type="spellStart"/>
      <w:r w:rsidRPr="0000434E">
        <w:rPr>
          <w:i/>
          <w:iCs/>
        </w:rPr>
        <w:t>Long</w:t>
      </w:r>
      <w:proofErr w:type="spellEnd"/>
      <w:r w:rsidRPr="0000434E">
        <w:rPr>
          <w:i/>
          <w:iCs/>
        </w:rPr>
        <w:t xml:space="preserve"> Short-</w:t>
      </w:r>
      <w:proofErr w:type="spellStart"/>
      <w:r w:rsidRPr="0000434E">
        <w:rPr>
          <w:i/>
          <w:iCs/>
        </w:rPr>
        <w:t>Term</w:t>
      </w:r>
      <w:proofErr w:type="spellEnd"/>
      <w:r w:rsidRPr="0000434E">
        <w:rPr>
          <w:i/>
          <w:iCs/>
        </w:rPr>
        <w:t xml:space="preserve"> </w:t>
      </w:r>
      <w:proofErr w:type="spellStart"/>
      <w:r w:rsidRPr="0000434E">
        <w:rPr>
          <w:i/>
          <w:iCs/>
        </w:rPr>
        <w:t>Memory</w:t>
      </w:r>
      <w:proofErr w:type="spellEnd"/>
      <w:r w:rsidRPr="0000434E">
        <w:t> (LSTM), reside na limitação dos modelos econométricos clássicos, como o ARIMA, em lidar com a não-linearidade e a complexidade dos dados de inflação em ambientes de alta volatilidade. A literatura recente sugere que, embora modelos lineares funcionem bem em períodos de estabilidade, eles falham em capturar as mudanças de regime e os </w:t>
      </w:r>
      <w:r w:rsidRPr="0000434E">
        <w:rPr>
          <w:i/>
          <w:iCs/>
        </w:rPr>
        <w:t>clusters</w:t>
      </w:r>
      <w:r w:rsidRPr="0000434E">
        <w:t xml:space="preserve"> de volatilidade períodos </w:t>
      </w:r>
      <w:proofErr w:type="gramStart"/>
      <w:r w:rsidRPr="0000434E">
        <w:t>onde</w:t>
      </w:r>
      <w:proofErr w:type="gramEnd"/>
      <w:r w:rsidRPr="0000434E">
        <w:t xml:space="preserve"> grandes variações de preços são seguidas por outras grandes variações fenômeno frequente na série histórica brasileira.</w:t>
      </w:r>
    </w:p>
    <w:p w14:paraId="07C5D426" w14:textId="77777777" w:rsidR="00381BDF" w:rsidRPr="0000434E" w:rsidRDefault="00381BDF">
      <w:r w:rsidRPr="0000434E">
        <w:br w:type="page"/>
      </w:r>
    </w:p>
    <w:p w14:paraId="7E214055" w14:textId="3CE6A726" w:rsidR="00381BDF" w:rsidRPr="0000434E" w:rsidRDefault="0000434E" w:rsidP="0000434E">
      <w:pPr>
        <w:pStyle w:val="Ttulo1"/>
      </w:pPr>
      <w:bookmarkStart w:id="2" w:name="_Toc214993535"/>
      <w:r>
        <w:lastRenderedPageBreak/>
        <w:t xml:space="preserve">III - </w:t>
      </w:r>
      <w:r w:rsidR="00381BDF" w:rsidRPr="0000434E">
        <w:t>Definição do Parceiro Extensionista e Stakeholders</w:t>
      </w:r>
      <w:bookmarkEnd w:id="2"/>
    </w:p>
    <w:p w14:paraId="665DA4C1" w14:textId="77777777" w:rsidR="00381BDF" w:rsidRPr="0000434E" w:rsidRDefault="00381BDF" w:rsidP="00381BDF">
      <w:pPr>
        <w:jc w:val="both"/>
      </w:pPr>
      <w:r w:rsidRPr="0000434E">
        <w:t>Em consonância com a natureza extensionista do Projeto Integrador, que exige a aplicação do conhecimento acadêmico na resolução de problemas reais da comunidade, este projeto estabelece uma parceria estratégica simulada com o Observatório de Segurança Alimentar de São Paulo. Esta entidade fictícia foi modelada com base nas operações e desafios enfrentados por instituições reais, como a ONG Banco de Alimentos e a Associação Paulista de Supermercados (APAS).   </w:t>
      </w:r>
    </w:p>
    <w:p w14:paraId="318666FE" w14:textId="55EE3E6F" w:rsidR="00381BDF" w:rsidRPr="0000434E" w:rsidRDefault="00381BDF" w:rsidP="00381BDF">
      <w:pPr>
        <w:jc w:val="both"/>
      </w:pPr>
      <w:r w:rsidRPr="0000434E">
        <w:t xml:space="preserve">A escolha deste perfil de parceiro deve-se à interseção crítica entre dados econômicos e impacto social. As ONGs que operam bancos de alimentos trabalham com margens orçamentárias extremamente rígidas e dependem de doações físicas e financeiras. Um pico inflacionário súbito no preço do arroz ou do óleo de soja, por exemplo, reduz drasticamente o poder de compra dessas entidades, resultando em menos cestas básicas distribuídas justamente </w:t>
      </w:r>
      <w:r w:rsidR="009672CF" w:rsidRPr="0000434E">
        <w:t>quando</w:t>
      </w:r>
      <w:r w:rsidRPr="0000434E">
        <w:t xml:space="preserve"> a população vulnerável mais necessita. Da mesma forma, pequenos varejistas, frequentemente associados a entidades como a APAS ou a ABAAS (Associação Brasileira dos Atacarejos), sofrem com a gestão de estoques em períodos de volatilidade, arriscando-se a comprar mercadorias na alta e enfrentar a compressão de margens.   </w:t>
      </w:r>
    </w:p>
    <w:p w14:paraId="1CEA8B88" w14:textId="2F97FC39" w:rsidR="00381BDF" w:rsidRPr="0000434E" w:rsidRDefault="0000434E" w:rsidP="0000434E">
      <w:pPr>
        <w:pStyle w:val="Ttulo2"/>
      </w:pPr>
      <w:bookmarkStart w:id="3" w:name="_Toc214993536"/>
      <w:r>
        <w:t xml:space="preserve">III.I - </w:t>
      </w:r>
      <w:r w:rsidR="00381BDF" w:rsidRPr="0000434E">
        <w:t>Os Stakeholders do Projeto:</w:t>
      </w:r>
      <w:bookmarkEnd w:id="3"/>
    </w:p>
    <w:p w14:paraId="6CF794DB" w14:textId="77777777" w:rsidR="00381BDF" w:rsidRPr="0000434E" w:rsidRDefault="00381BDF" w:rsidP="00381BDF">
      <w:pPr>
        <w:numPr>
          <w:ilvl w:val="0"/>
          <w:numId w:val="25"/>
        </w:numPr>
        <w:jc w:val="both"/>
      </w:pPr>
      <w:r w:rsidRPr="00272A4E">
        <w:rPr>
          <w:b/>
          <w:bCs/>
        </w:rPr>
        <w:t>Gestores de ONGs de Combate à Fome:</w:t>
      </w:r>
      <w:r w:rsidRPr="0000434E">
        <w:t> Necessitam de previsões para antecipar compras de itens básicos antes de ciclos de alta sazonal ou choques previstos.</w:t>
      </w:r>
    </w:p>
    <w:p w14:paraId="71167517" w14:textId="77777777" w:rsidR="00381BDF" w:rsidRPr="0000434E" w:rsidRDefault="00381BDF" w:rsidP="00381BDF">
      <w:pPr>
        <w:numPr>
          <w:ilvl w:val="0"/>
          <w:numId w:val="25"/>
        </w:numPr>
        <w:jc w:val="both"/>
      </w:pPr>
      <w:r w:rsidRPr="00272A4E">
        <w:rPr>
          <w:b/>
          <w:bCs/>
        </w:rPr>
        <w:t>Pequenos Varejistas:</w:t>
      </w:r>
      <w:r w:rsidRPr="0000434E">
        <w:t> Utilizam a previsão para otimizar o </w:t>
      </w:r>
      <w:r w:rsidRPr="0000434E">
        <w:rPr>
          <w:i/>
          <w:iCs/>
        </w:rPr>
        <w:t>mix</w:t>
      </w:r>
      <w:r w:rsidRPr="0000434E">
        <w:t> de produtos e a gestão de estoque, evitando a ruptura ou o encalhe de produtos perecíveis caros.</w:t>
      </w:r>
    </w:p>
    <w:p w14:paraId="243DEC04" w14:textId="14BAF700" w:rsidR="00381BDF" w:rsidRPr="0000434E" w:rsidRDefault="00381BDF" w:rsidP="00381BDF">
      <w:pPr>
        <w:numPr>
          <w:ilvl w:val="0"/>
          <w:numId w:val="25"/>
        </w:numPr>
        <w:jc w:val="both"/>
      </w:pPr>
      <w:r w:rsidRPr="00272A4E">
        <w:rPr>
          <w:b/>
          <w:bCs/>
        </w:rPr>
        <w:t>Formuladores de Políticas Públicas Locais:</w:t>
      </w:r>
      <w:r w:rsidRPr="0000434E">
        <w:t> Podem utilizar os modelos para desenhar intervenções de subsídio ou campanhas de arrecadação direcionadas em momentos de previsão de estresse inflacionário.</w:t>
      </w:r>
    </w:p>
    <w:p w14:paraId="63A281BB" w14:textId="77777777" w:rsidR="00381BDF" w:rsidRPr="0000434E" w:rsidRDefault="00381BDF">
      <w:r w:rsidRPr="0000434E">
        <w:br w:type="page"/>
      </w:r>
    </w:p>
    <w:p w14:paraId="20EBE4F3" w14:textId="69A44CCC" w:rsidR="00381BDF" w:rsidRPr="0000434E" w:rsidRDefault="0000434E" w:rsidP="0000434E">
      <w:pPr>
        <w:pStyle w:val="Ttulo1"/>
      </w:pPr>
      <w:bookmarkStart w:id="4" w:name="_Toc214993537"/>
      <w:r>
        <w:lastRenderedPageBreak/>
        <w:t xml:space="preserve">IV - </w:t>
      </w:r>
      <w:r w:rsidR="00381BDF" w:rsidRPr="0000434E">
        <w:t>Objetivos do Projeto</w:t>
      </w:r>
      <w:bookmarkEnd w:id="4"/>
    </w:p>
    <w:p w14:paraId="1137BC58" w14:textId="63253601" w:rsidR="00381BDF" w:rsidRPr="0000434E" w:rsidRDefault="00381BDF" w:rsidP="00381BDF">
      <w:pPr>
        <w:jc w:val="both"/>
      </w:pPr>
      <w:r w:rsidRPr="0000434E">
        <w:t>O objetivo geral é desenvolver, treinar e validar um modelo de Redes Neurais Recorrentes (RNN-LSTM) capaz de prever a inflação mensal de alimentos (IPC-Fipe) com um horizonte de 1 a 3 meses, superando métricas de modelos de referência.</w:t>
      </w:r>
    </w:p>
    <w:p w14:paraId="22414374" w14:textId="77777777" w:rsidR="00381BDF" w:rsidRPr="006D6C91" w:rsidRDefault="00381BDF" w:rsidP="00381BDF">
      <w:pPr>
        <w:jc w:val="both"/>
        <w:rPr>
          <w:b/>
          <w:bCs/>
        </w:rPr>
      </w:pPr>
      <w:r w:rsidRPr="006D6C91">
        <w:rPr>
          <w:b/>
          <w:bCs/>
        </w:rPr>
        <w:t>Os objetivos específicos incluem:</w:t>
      </w:r>
    </w:p>
    <w:p w14:paraId="3CC5778E" w14:textId="6EA7B2CC" w:rsidR="00381BDF" w:rsidRPr="0000434E" w:rsidRDefault="00381BDF" w:rsidP="00381BDF">
      <w:pPr>
        <w:numPr>
          <w:ilvl w:val="0"/>
          <w:numId w:val="26"/>
        </w:numPr>
        <w:jc w:val="both"/>
      </w:pPr>
      <w:r w:rsidRPr="0000434E">
        <w:t>Realizar uma mineração de dados exaustiva na base </w:t>
      </w:r>
      <w:r w:rsidR="007C461C" w:rsidRPr="0000434E">
        <w:t xml:space="preserve">de dados </w:t>
      </w:r>
      <w:r w:rsidRPr="0000434E">
        <w:t>para identificar padrões, sazonalidades, tendências e </w:t>
      </w:r>
      <w:r w:rsidRPr="0000434E">
        <w:rPr>
          <w:i/>
          <w:iCs/>
        </w:rPr>
        <w:t>outliers</w:t>
      </w:r>
      <w:r w:rsidRPr="0000434E">
        <w:t> históricos.</w:t>
      </w:r>
    </w:p>
    <w:p w14:paraId="7E88682F" w14:textId="77777777" w:rsidR="00381BDF" w:rsidRPr="0000434E" w:rsidRDefault="00381BDF" w:rsidP="00381BDF">
      <w:pPr>
        <w:numPr>
          <w:ilvl w:val="0"/>
          <w:numId w:val="26"/>
        </w:numPr>
        <w:jc w:val="both"/>
      </w:pPr>
      <w:r w:rsidRPr="0000434E">
        <w:t>Analisar a correlação entre os picos inflacionários identificados na base e eventos macroeconômicos reais (</w:t>
      </w:r>
      <w:proofErr w:type="spellStart"/>
      <w:r w:rsidRPr="0000434E">
        <w:t>ex</w:t>
      </w:r>
      <w:proofErr w:type="spellEnd"/>
      <w:r w:rsidRPr="0000434E">
        <w:t>: desvalorização cambial de 1999, crise de 2002, pandemia de 2020).</w:t>
      </w:r>
    </w:p>
    <w:p w14:paraId="5211DEF7" w14:textId="77777777" w:rsidR="00381BDF" w:rsidRPr="0000434E" w:rsidRDefault="00381BDF" w:rsidP="00381BDF">
      <w:pPr>
        <w:numPr>
          <w:ilvl w:val="0"/>
          <w:numId w:val="26"/>
        </w:numPr>
        <w:jc w:val="both"/>
      </w:pPr>
      <w:r w:rsidRPr="0000434E">
        <w:t>Implementar técnicas de pré-processamento de séries temporais, incluindo normalização, diferenciação (se necessário) e estruturação de janelas deslizantes (</w:t>
      </w:r>
      <w:proofErr w:type="spellStart"/>
      <w:r w:rsidRPr="0000434E">
        <w:rPr>
          <w:i/>
          <w:iCs/>
        </w:rPr>
        <w:t>sliding</w:t>
      </w:r>
      <w:proofErr w:type="spellEnd"/>
      <w:r w:rsidRPr="0000434E">
        <w:rPr>
          <w:i/>
          <w:iCs/>
        </w:rPr>
        <w:t xml:space="preserve"> </w:t>
      </w:r>
      <w:proofErr w:type="spellStart"/>
      <w:r w:rsidRPr="0000434E">
        <w:rPr>
          <w:i/>
          <w:iCs/>
        </w:rPr>
        <w:t>windows</w:t>
      </w:r>
      <w:proofErr w:type="spellEnd"/>
      <w:r w:rsidRPr="0000434E">
        <w:t>) para aprendizado supervisionado.</w:t>
      </w:r>
    </w:p>
    <w:p w14:paraId="12A3885E" w14:textId="77777777" w:rsidR="00381BDF" w:rsidRPr="0000434E" w:rsidRDefault="00381BDF" w:rsidP="00381BDF">
      <w:pPr>
        <w:numPr>
          <w:ilvl w:val="0"/>
          <w:numId w:val="26"/>
        </w:numPr>
        <w:jc w:val="both"/>
      </w:pPr>
      <w:r w:rsidRPr="0000434E">
        <w:t>Projetar e otimizar uma arquitetura de </w:t>
      </w:r>
      <w:proofErr w:type="spellStart"/>
      <w:r w:rsidRPr="0000434E">
        <w:rPr>
          <w:i/>
          <w:iCs/>
        </w:rPr>
        <w:t>Deep</w:t>
      </w:r>
      <w:proofErr w:type="spellEnd"/>
      <w:r w:rsidRPr="0000434E">
        <w:rPr>
          <w:i/>
          <w:iCs/>
        </w:rPr>
        <w:t xml:space="preserve"> Learning</w:t>
      </w:r>
      <w:r w:rsidRPr="0000434E">
        <w:t xml:space="preserve"> (LSTM ou GRU), ajustando </w:t>
      </w:r>
      <w:proofErr w:type="spellStart"/>
      <w:r w:rsidRPr="0000434E">
        <w:t>hiperparâmetros</w:t>
      </w:r>
      <w:proofErr w:type="spellEnd"/>
      <w:r w:rsidRPr="0000434E">
        <w:t xml:space="preserve"> como número de camadas, neurônios, taxa de aprendizado e regularização (</w:t>
      </w:r>
      <w:proofErr w:type="spellStart"/>
      <w:r w:rsidRPr="0000434E">
        <w:rPr>
          <w:i/>
          <w:iCs/>
        </w:rPr>
        <w:t>Dropout</w:t>
      </w:r>
      <w:proofErr w:type="spellEnd"/>
      <w:r w:rsidRPr="0000434E">
        <w:t>).</w:t>
      </w:r>
    </w:p>
    <w:p w14:paraId="26B34170" w14:textId="77777777" w:rsidR="00381BDF" w:rsidRPr="0000434E" w:rsidRDefault="00381BDF" w:rsidP="00381BDF">
      <w:pPr>
        <w:numPr>
          <w:ilvl w:val="0"/>
          <w:numId w:val="26"/>
        </w:numPr>
        <w:jc w:val="both"/>
      </w:pPr>
      <w:r w:rsidRPr="0000434E">
        <w:t>Avaliar o desempenho do modelo utilizando métricas robustas (RMSE, MAE, MAPE) e validar a generalização através de técnicas de validação cruzada temporal (</w:t>
      </w:r>
      <w:r w:rsidRPr="0000434E">
        <w:rPr>
          <w:i/>
          <w:iCs/>
        </w:rPr>
        <w:t>Walk-</w:t>
      </w:r>
      <w:proofErr w:type="spellStart"/>
      <w:r w:rsidRPr="0000434E">
        <w:rPr>
          <w:i/>
          <w:iCs/>
        </w:rPr>
        <w:t>Forward</w:t>
      </w:r>
      <w:proofErr w:type="spellEnd"/>
      <w:r w:rsidRPr="0000434E">
        <w:rPr>
          <w:i/>
          <w:iCs/>
        </w:rPr>
        <w:t xml:space="preserve"> </w:t>
      </w:r>
      <w:proofErr w:type="spellStart"/>
      <w:r w:rsidRPr="0000434E">
        <w:rPr>
          <w:i/>
          <w:iCs/>
        </w:rPr>
        <w:t>Validation</w:t>
      </w:r>
      <w:proofErr w:type="spellEnd"/>
      <w:r w:rsidRPr="0000434E">
        <w:t>).</w:t>
      </w:r>
    </w:p>
    <w:p w14:paraId="792D93B0" w14:textId="60F93AAF" w:rsidR="007C461C" w:rsidRPr="0000434E" w:rsidRDefault="00381BDF" w:rsidP="007C461C">
      <w:pPr>
        <w:numPr>
          <w:ilvl w:val="0"/>
          <w:numId w:val="26"/>
        </w:numPr>
        <w:jc w:val="both"/>
      </w:pPr>
      <w:r w:rsidRPr="0000434E">
        <w:t>Traduzir os resultados técnicos em </w:t>
      </w:r>
      <w:r w:rsidRPr="0000434E">
        <w:rPr>
          <w:i/>
          <w:iCs/>
        </w:rPr>
        <w:t>insights</w:t>
      </w:r>
      <w:r w:rsidRPr="0000434E">
        <w:t> acionáveis para o parceiro extensionista, propondo estratégias de mitigação de risco baseadas nas previsões do modelo.</w:t>
      </w:r>
    </w:p>
    <w:p w14:paraId="544D330D" w14:textId="77777777" w:rsidR="007C461C" w:rsidRPr="0000434E" w:rsidRDefault="007C461C">
      <w:r w:rsidRPr="0000434E">
        <w:br w:type="page"/>
      </w:r>
    </w:p>
    <w:p w14:paraId="0B0C02F4" w14:textId="2EBC2D9D" w:rsidR="007C461C" w:rsidRPr="0000434E" w:rsidRDefault="0000434E" w:rsidP="0000434E">
      <w:pPr>
        <w:pStyle w:val="Ttulo1"/>
      </w:pPr>
      <w:bookmarkStart w:id="5" w:name="_Toc214993538"/>
      <w:r>
        <w:lastRenderedPageBreak/>
        <w:t xml:space="preserve">V - </w:t>
      </w:r>
      <w:r w:rsidR="007C461C" w:rsidRPr="0000434E">
        <w:t>Fundamentação Teórica e Estado da Arte</w:t>
      </w:r>
      <w:bookmarkEnd w:id="5"/>
    </w:p>
    <w:p w14:paraId="1958065F" w14:textId="0F7D828B" w:rsidR="007C461C" w:rsidRPr="0000434E" w:rsidRDefault="007C461C" w:rsidP="007C461C">
      <w:pPr>
        <w:jc w:val="both"/>
      </w:pPr>
      <w:r w:rsidRPr="0000434E">
        <w:t>Para sustentar a escolha metodológica deste projeto, é imperativo analisar a teoria subjacente à inflação, às séries temporais financeiras e aos avanços recentes no campo da Inteligência Artificial aplicada à econometria.</w:t>
      </w:r>
    </w:p>
    <w:p w14:paraId="09E61DFB" w14:textId="532A114B" w:rsidR="007C461C" w:rsidRPr="0000434E" w:rsidRDefault="0000434E" w:rsidP="0000434E">
      <w:pPr>
        <w:pStyle w:val="Ttulo2"/>
      </w:pPr>
      <w:bookmarkStart w:id="6" w:name="_Toc214993539"/>
      <w:r>
        <w:t xml:space="preserve">V.I - </w:t>
      </w:r>
      <w:r w:rsidR="007C461C" w:rsidRPr="0000434E">
        <w:t>A Dinâmica da Inflação e o IPC-Fipe</w:t>
      </w:r>
      <w:bookmarkEnd w:id="6"/>
    </w:p>
    <w:p w14:paraId="44C1E38C" w14:textId="77777777" w:rsidR="007C461C" w:rsidRPr="0000434E" w:rsidRDefault="007C461C" w:rsidP="007C461C">
      <w:pPr>
        <w:jc w:val="both"/>
      </w:pPr>
      <w:r w:rsidRPr="0000434E">
        <w:t>A inflação é o aumento persistente e generalizado no nível de preços. No entanto, a "inflação de alimentos" possui uma dinâmica própria, frequentemente descolada da inflação geral. Enquanto o índice geral pode estar controlado, o grupo alimentação pode apresentar altas expressivas devido a choques de oferta. O Banco Central do Brasil monitora de perto essas variações, pois a alimentação tem um peso elevado na formação das expectativas de inflação da sociedade.   </w:t>
      </w:r>
    </w:p>
    <w:p w14:paraId="5D433FC9" w14:textId="02A2BB44" w:rsidR="007C461C" w:rsidRPr="0000434E" w:rsidRDefault="007C461C" w:rsidP="007C461C">
      <w:pPr>
        <w:jc w:val="both"/>
      </w:pPr>
      <w:r w:rsidRPr="0000434E">
        <w:t>O IPC-Fipe é calculado através da Pesquisa de Orçamento Familiar, que determina o "peso" de cada item no bolso do consumidor paulistano. O grupo "Alimentação" compete com outros grupos vitais como "Habitação" e "Transportes". Estudos indicam que, para famílias de baixa renda, a elasticidade-preço da demanda por alimentos é baixa (são bens essenciais), o que significa que aumentos de preço não reduzem proporcionalmente o consumo, mas sim forçam a substituição por itens de menor qualidade nutricional ou o corte em outras despesas essenciais, agravando a vulnerabilidade social.   </w:t>
      </w:r>
    </w:p>
    <w:p w14:paraId="7202DAFD" w14:textId="728A3C7D" w:rsidR="007C461C" w:rsidRPr="0000434E" w:rsidRDefault="007C461C" w:rsidP="007C461C">
      <w:pPr>
        <w:jc w:val="both"/>
      </w:pPr>
      <w:r w:rsidRPr="0000434E">
        <w:t xml:space="preserve">A série histórica fornecida inicia-se em 1997, um período pós-estabilização do Plano Real, mas ainda sujeito a fortes turbulências. A compreensão de que o IPC-Fipe mede o custo de vida de quem ganha até 10 </w:t>
      </w:r>
      <w:r w:rsidR="009672CF" w:rsidRPr="0000434E">
        <w:t>salários-mínimos</w:t>
      </w:r>
      <w:r w:rsidRPr="0000434E">
        <w:t xml:space="preserve"> é crucial: este é o público-alvo das ações extensionistas propostas. A volatilidade capturada neste índice reflete diretamente a insegurança alimentar na ponta do consumo.</w:t>
      </w:r>
    </w:p>
    <w:p w14:paraId="320BF92D" w14:textId="19532C49" w:rsidR="007C461C" w:rsidRPr="0000434E" w:rsidRDefault="0000434E" w:rsidP="0000434E">
      <w:pPr>
        <w:pStyle w:val="Ttulo2"/>
      </w:pPr>
      <w:bookmarkStart w:id="7" w:name="_Toc214993540"/>
      <w:r>
        <w:t xml:space="preserve">V.II - </w:t>
      </w:r>
      <w:r w:rsidR="007C461C" w:rsidRPr="0000434E">
        <w:t xml:space="preserve">Modelagem de Séries Temporais: Do ARIMA ao </w:t>
      </w:r>
      <w:proofErr w:type="spellStart"/>
      <w:r w:rsidR="007C461C" w:rsidRPr="0000434E">
        <w:t>Deep</w:t>
      </w:r>
      <w:proofErr w:type="spellEnd"/>
      <w:r w:rsidR="007C461C" w:rsidRPr="0000434E">
        <w:t xml:space="preserve"> Learning</w:t>
      </w:r>
      <w:bookmarkEnd w:id="7"/>
    </w:p>
    <w:p w14:paraId="75C3154A" w14:textId="77777777" w:rsidR="007C461C" w:rsidRPr="0000434E" w:rsidRDefault="007C461C" w:rsidP="007C461C">
      <w:pPr>
        <w:jc w:val="both"/>
      </w:pPr>
      <w:r w:rsidRPr="0000434E">
        <w:t>A previsão de séries temporais econômicas evoluiu substancialmente nas últimas décadas. A abordagem clássica, dominada pela metodologia Box-Jenkins (ARIMA), assume que a série é gerada por um processo linear estocástico.</w:t>
      </w:r>
    </w:p>
    <w:p w14:paraId="5814A7D3" w14:textId="34B48BDD" w:rsidR="007C461C" w:rsidRPr="0000434E" w:rsidRDefault="007C461C" w:rsidP="007C461C">
      <w:pPr>
        <w:numPr>
          <w:ilvl w:val="0"/>
          <w:numId w:val="27"/>
        </w:numPr>
        <w:jc w:val="both"/>
      </w:pPr>
      <w:r w:rsidRPr="006D6C91">
        <w:rPr>
          <w:b/>
          <w:bCs/>
        </w:rPr>
        <w:t>AR (</w:t>
      </w:r>
      <w:proofErr w:type="gramStart"/>
      <w:r w:rsidR="009672CF" w:rsidRPr="006D6C91">
        <w:rPr>
          <w:b/>
          <w:bCs/>
        </w:rPr>
        <w:t>Auto Regressivo</w:t>
      </w:r>
      <w:proofErr w:type="gramEnd"/>
      <w:r w:rsidRPr="006D6C91">
        <w:rPr>
          <w:b/>
          <w:bCs/>
        </w:rPr>
        <w:t>):</w:t>
      </w:r>
      <w:r w:rsidRPr="0000434E">
        <w:t> O valor atual é uma combinação linear de valores passados.</w:t>
      </w:r>
    </w:p>
    <w:p w14:paraId="2B7731E1" w14:textId="77777777" w:rsidR="007C461C" w:rsidRPr="0000434E" w:rsidRDefault="007C461C" w:rsidP="007C461C">
      <w:pPr>
        <w:numPr>
          <w:ilvl w:val="0"/>
          <w:numId w:val="27"/>
        </w:numPr>
        <w:jc w:val="both"/>
      </w:pPr>
      <w:r w:rsidRPr="006D6C91">
        <w:rPr>
          <w:b/>
          <w:bCs/>
        </w:rPr>
        <w:t>I (Integrado):</w:t>
      </w:r>
      <w:r w:rsidRPr="0000434E">
        <w:t> A série precisa ser tornada estacionária (média e variância constantes) através de diferenciação.</w:t>
      </w:r>
    </w:p>
    <w:p w14:paraId="16C1519E" w14:textId="77777777" w:rsidR="007C461C" w:rsidRPr="0000434E" w:rsidRDefault="007C461C" w:rsidP="007C461C">
      <w:pPr>
        <w:numPr>
          <w:ilvl w:val="0"/>
          <w:numId w:val="27"/>
        </w:numPr>
        <w:jc w:val="both"/>
      </w:pPr>
      <w:r w:rsidRPr="006D6C91">
        <w:rPr>
          <w:b/>
          <w:bCs/>
        </w:rPr>
        <w:t>MA (Média Móvel):</w:t>
      </w:r>
      <w:r w:rsidRPr="0000434E">
        <w:t> O valor atual depende de erros de previsão passados.   </w:t>
      </w:r>
    </w:p>
    <w:p w14:paraId="1164DBD0" w14:textId="77777777" w:rsidR="007C461C" w:rsidRPr="0000434E" w:rsidRDefault="007C461C" w:rsidP="007C461C">
      <w:pPr>
        <w:jc w:val="both"/>
      </w:pPr>
      <w:r w:rsidRPr="0000434E">
        <w:lastRenderedPageBreak/>
        <w:t>Embora robustos e interpretáveis, modelos ARIMA lutam para capturar a complexidade de séries como a inflação brasileira, que exibem:</w:t>
      </w:r>
    </w:p>
    <w:p w14:paraId="655183FE" w14:textId="77777777" w:rsidR="007C461C" w:rsidRPr="0000434E" w:rsidRDefault="007C461C" w:rsidP="007C461C">
      <w:pPr>
        <w:numPr>
          <w:ilvl w:val="0"/>
          <w:numId w:val="28"/>
        </w:numPr>
        <w:jc w:val="both"/>
      </w:pPr>
      <w:r w:rsidRPr="006D6C91">
        <w:rPr>
          <w:b/>
          <w:bCs/>
        </w:rPr>
        <w:t>Não-linearidade</w:t>
      </w:r>
      <w:r w:rsidRPr="0000434E">
        <w:t>: A resposta dos preços a choques não é sempre proporcional.</w:t>
      </w:r>
    </w:p>
    <w:p w14:paraId="0341816B" w14:textId="77777777" w:rsidR="007C461C" w:rsidRPr="0000434E" w:rsidRDefault="007C461C" w:rsidP="007C461C">
      <w:pPr>
        <w:numPr>
          <w:ilvl w:val="0"/>
          <w:numId w:val="28"/>
        </w:numPr>
        <w:jc w:val="both"/>
      </w:pPr>
      <w:r w:rsidRPr="006D6C91">
        <w:rPr>
          <w:b/>
          <w:bCs/>
        </w:rPr>
        <w:t>Assimetria:</w:t>
      </w:r>
      <w:r w:rsidRPr="0000434E">
        <w:t> Preços sobem rápido (efeito foguete) e caem devagar (efeito pena).</w:t>
      </w:r>
    </w:p>
    <w:p w14:paraId="030E86B2" w14:textId="77777777" w:rsidR="007C461C" w:rsidRPr="0000434E" w:rsidRDefault="007C461C" w:rsidP="007C461C">
      <w:pPr>
        <w:numPr>
          <w:ilvl w:val="0"/>
          <w:numId w:val="28"/>
        </w:numPr>
        <w:jc w:val="both"/>
      </w:pPr>
      <w:r w:rsidRPr="006D6C91">
        <w:rPr>
          <w:b/>
          <w:bCs/>
        </w:rPr>
        <w:t>Heterocedasticidade Condicional:</w:t>
      </w:r>
      <w:r w:rsidRPr="0000434E">
        <w:t> A volatilidade não é constante; períodos de calma são seguidos por períodos de caos, formando </w:t>
      </w:r>
      <w:r w:rsidRPr="0000434E">
        <w:rPr>
          <w:i/>
          <w:iCs/>
        </w:rPr>
        <w:t>clusters</w:t>
      </w:r>
      <w:r w:rsidRPr="0000434E">
        <w:t> de volatilidade.   </w:t>
      </w:r>
    </w:p>
    <w:p w14:paraId="3DD2EE8A" w14:textId="18DBAED9" w:rsidR="007C461C" w:rsidRPr="0000434E" w:rsidRDefault="007C461C" w:rsidP="007C461C">
      <w:pPr>
        <w:jc w:val="both"/>
      </w:pPr>
      <w:r w:rsidRPr="0000434E">
        <w:t>É neste cenário que o </w:t>
      </w:r>
      <w:proofErr w:type="spellStart"/>
      <w:r w:rsidRPr="0000434E">
        <w:rPr>
          <w:i/>
          <w:iCs/>
        </w:rPr>
        <w:t>Deep</w:t>
      </w:r>
      <w:proofErr w:type="spellEnd"/>
      <w:r w:rsidRPr="0000434E">
        <w:rPr>
          <w:i/>
          <w:iCs/>
        </w:rPr>
        <w:t xml:space="preserve"> Learning</w:t>
      </w:r>
      <w:r w:rsidRPr="0000434E">
        <w:t xml:space="preserve"> se destaca. Redes Neurais Artificiais são </w:t>
      </w:r>
      <w:proofErr w:type="spellStart"/>
      <w:r w:rsidRPr="0000434E">
        <w:t>aproximadores</w:t>
      </w:r>
      <w:proofErr w:type="spellEnd"/>
      <w:r w:rsidRPr="0000434E">
        <w:t xml:space="preserve"> universais de funções, capazes de modelar relações não-lineares complexas sem a necessidade de pressupostos rígidos sobre a distribuição dos dados. Contudo, </w:t>
      </w:r>
      <w:proofErr w:type="spellStart"/>
      <w:r w:rsidRPr="0000434E">
        <w:t>ANNs</w:t>
      </w:r>
      <w:proofErr w:type="spellEnd"/>
      <w:r w:rsidRPr="0000434E">
        <w:t xml:space="preserve"> tradicionais não possuem memória; elas processam cada entrada independentemente. Para dados sequenciais como a inflação, onde a ordem temporal é crítica, necessita-se de uma arquitetura que mantenha um "estado" interno: as Redes Neurais Recorrentes.</w:t>
      </w:r>
    </w:p>
    <w:p w14:paraId="2A32744B" w14:textId="0E474C9A" w:rsidR="007C461C" w:rsidRPr="0000434E" w:rsidRDefault="007C461C" w:rsidP="007C461C">
      <w:pPr>
        <w:jc w:val="both"/>
      </w:pPr>
      <w:r w:rsidRPr="0000434E">
        <w:t>Redes Neurais Recorrentes (RNN)</w:t>
      </w:r>
    </w:p>
    <w:p w14:paraId="6BC20723" w14:textId="63312540" w:rsidR="007C461C" w:rsidRPr="0000434E" w:rsidRDefault="007C461C" w:rsidP="007C461C">
      <w:pPr>
        <w:jc w:val="both"/>
      </w:pPr>
      <w:r w:rsidRPr="0000434E">
        <w:t xml:space="preserve">Uma Rede Neural Recorrente processa uma sequência de entradas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rsidRPr="0000434E">
        <w:t xml:space="preserve">, mantendo um vetor de estado oculto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que é atualizado a cada passo de tempo:</w:t>
      </w:r>
    </w:p>
    <w:p w14:paraId="0D98BA7C" w14:textId="5EDED298" w:rsidR="007C461C" w:rsidRPr="0000434E" w:rsidRDefault="00000000" w:rsidP="007C461C">
      <w:pPr>
        <w:jc w:val="both"/>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hh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xh</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m:t>
          </m:r>
          <m:r>
            <m:rPr>
              <m:sty m:val="p"/>
            </m:rPr>
            <w:rPr>
              <w:rFonts w:ascii="Cambria Math" w:hAnsi="Cambria Math"/>
            </w:rPr>
            <w:br/>
          </m:r>
        </m:oMath>
      </m:oMathPara>
    </w:p>
    <w:p w14:paraId="3736E8C3" w14:textId="0D89259A" w:rsidR="007C461C" w:rsidRPr="0000434E" w:rsidRDefault="007C461C" w:rsidP="007C461C">
      <w:pPr>
        <w:jc w:val="both"/>
      </w:pPr>
      <w:r w:rsidRPr="0000434E">
        <w:t xml:space="preserve">Nessa formulação, </w:t>
      </w:r>
      <m:oMath>
        <m:sSub>
          <m:sSubPr>
            <m:ctrlPr>
              <w:rPr>
                <w:rFonts w:ascii="Cambria Math" w:hAnsi="Cambria Math"/>
              </w:rPr>
            </m:ctrlPr>
          </m:sSubPr>
          <m:e>
            <m:r>
              <w:rPr>
                <w:rFonts w:ascii="Cambria Math" w:hAnsi="Cambria Math"/>
              </w:rPr>
              <m:t>W</m:t>
            </m:r>
          </m:e>
          <m:sub>
            <m:r>
              <w:rPr>
                <w:rFonts w:ascii="Cambria Math" w:hAnsi="Cambria Math"/>
              </w:rPr>
              <m:t>hh</m:t>
            </m:r>
          </m:sub>
        </m:sSub>
      </m:oMath>
      <w:r w:rsidRPr="0000434E">
        <w:t xml:space="preserve">e </w:t>
      </w:r>
      <m:oMath>
        <m:sSub>
          <m:sSubPr>
            <m:ctrlPr>
              <w:rPr>
                <w:rFonts w:ascii="Cambria Math" w:hAnsi="Cambria Math"/>
              </w:rPr>
            </m:ctrlPr>
          </m:sSubPr>
          <m:e>
            <m:r>
              <w:rPr>
                <w:rFonts w:ascii="Cambria Math" w:hAnsi="Cambria Math"/>
              </w:rPr>
              <m:t>W</m:t>
            </m:r>
          </m:e>
          <m:sub>
            <m:r>
              <w:rPr>
                <w:rFonts w:ascii="Cambria Math" w:hAnsi="Cambria Math"/>
              </w:rPr>
              <m:t>xh</m:t>
            </m:r>
          </m:sub>
        </m:sSub>
      </m:oMath>
      <w:r w:rsidRPr="0000434E">
        <w:t>são matrizes de pesos compartilhados entre todos os passos de tempo. Em teoria, esse mecanismo permite que a rede utilize informações do passado distante para influenciar previsões no presente.</w:t>
      </w:r>
    </w:p>
    <w:p w14:paraId="508C3FC7" w14:textId="71884A18" w:rsidR="007C461C" w:rsidRPr="0000434E" w:rsidRDefault="007C461C" w:rsidP="007C461C">
      <w:pPr>
        <w:jc w:val="both"/>
      </w:pPr>
      <w:r w:rsidRPr="0000434E">
        <w:t xml:space="preserve">No entanto, na prática, treinar </w:t>
      </w:r>
      <w:proofErr w:type="spellStart"/>
      <w:r w:rsidRPr="0000434E">
        <w:t>RNNs</w:t>
      </w:r>
      <w:proofErr w:type="spellEnd"/>
      <w:r w:rsidRPr="0000434E">
        <w:t xml:space="preserve"> em sequências longas é desafiador devido ao problema do Desvanecimento do Gradiente. Durante o processo de </w:t>
      </w:r>
      <w:proofErr w:type="spellStart"/>
      <w:r w:rsidRPr="0000434E">
        <w:rPr>
          <w:i/>
          <w:iCs/>
        </w:rPr>
        <w:t>Backpropagation</w:t>
      </w:r>
      <w:proofErr w:type="spellEnd"/>
      <w:r w:rsidRPr="0000434E">
        <w:rPr>
          <w:i/>
          <w:iCs/>
        </w:rPr>
        <w:t xml:space="preserve"> </w:t>
      </w:r>
      <w:proofErr w:type="spellStart"/>
      <w:r w:rsidRPr="0000434E">
        <w:rPr>
          <w:i/>
          <w:iCs/>
        </w:rPr>
        <w:t>Through</w:t>
      </w:r>
      <w:proofErr w:type="spellEnd"/>
      <w:r w:rsidRPr="0000434E">
        <w:rPr>
          <w:i/>
          <w:iCs/>
        </w:rPr>
        <w:t xml:space="preserve"> Time</w:t>
      </w:r>
      <w:r w:rsidRPr="0000434E">
        <w:t>, os gradientes do erro são multiplicados repetidamente pela matriz de pesos recorrentes. Se esses pesos possuem valores pequenos, o gradiente tende a zero exponencialmente, o que impede a rede de aprender dependências de longo prazo como, por exemplo, padrões inflacionários anuais ou ciclos de safra.</w:t>
      </w:r>
    </w:p>
    <w:p w14:paraId="3CB16C88" w14:textId="77777777" w:rsidR="007C461C" w:rsidRPr="00C61200" w:rsidRDefault="007C461C" w:rsidP="007C461C">
      <w:pPr>
        <w:jc w:val="both"/>
        <w:rPr>
          <w:b/>
          <w:bCs/>
        </w:rPr>
      </w:pPr>
      <w:r w:rsidRPr="00C61200">
        <w:rPr>
          <w:b/>
          <w:bCs/>
        </w:rPr>
        <w:t>A Arquitetura LSTM</w:t>
      </w:r>
    </w:p>
    <w:p w14:paraId="3A202741" w14:textId="47A3A109" w:rsidR="007C461C" w:rsidRPr="0000434E" w:rsidRDefault="007C461C" w:rsidP="007C461C">
      <w:pPr>
        <w:jc w:val="both"/>
      </w:pPr>
      <w:r w:rsidRPr="0000434E">
        <w:t xml:space="preserve">Para solucionar o problema do desvanecimento do gradiente, </w:t>
      </w:r>
      <w:proofErr w:type="spellStart"/>
      <w:r w:rsidRPr="0000434E">
        <w:t>Hochreiter</w:t>
      </w:r>
      <w:proofErr w:type="spellEnd"/>
      <w:r w:rsidRPr="0000434E">
        <w:t xml:space="preserve"> e </w:t>
      </w:r>
      <w:proofErr w:type="spellStart"/>
      <w:r w:rsidRPr="0000434E">
        <w:t>Schmidhuber</w:t>
      </w:r>
      <w:proofErr w:type="spellEnd"/>
      <w:r w:rsidRPr="0000434E">
        <w:t xml:space="preserve"> introduziram a arquitetura LSTM. A inovação central da LSTM é a separação entre o estado oculto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 e o estado da célula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00434E">
        <w:t xml:space="preserve">), que atua como uma </w:t>
      </w:r>
      <w:r w:rsidRPr="0000434E">
        <w:lastRenderedPageBreak/>
        <w:t>“rodovia” de informações, permitindo que o gradiente flua por longos intervalos de tempo sem sofrer reduções significativas.</w:t>
      </w:r>
    </w:p>
    <w:p w14:paraId="7E8EAEF8" w14:textId="15BF074D" w:rsidR="007C461C" w:rsidRPr="0000434E" w:rsidRDefault="007C461C" w:rsidP="007C461C">
      <w:pPr>
        <w:jc w:val="both"/>
      </w:pPr>
      <w:r w:rsidRPr="0000434E">
        <w:t>O fluxo de informação é controlado por estruturas chamadas Gates, formadas por camadas sigmoides que produzem valores entre 0 (bloquear) e 1 (permitir). Uma célula LSTM típica utiliza três portões principais:</w:t>
      </w:r>
    </w:p>
    <w:p w14:paraId="12723FAB" w14:textId="4E639AC8" w:rsidR="007C461C" w:rsidRPr="0000434E" w:rsidRDefault="007C461C" w:rsidP="007C461C">
      <w:pPr>
        <w:jc w:val="both"/>
      </w:pPr>
      <w:r w:rsidRPr="0000434E">
        <w:t>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0434E">
        <w:t>)</w:t>
      </w:r>
    </w:p>
    <w:p w14:paraId="44013B64" w14:textId="40C62A5F" w:rsidR="007C461C" w:rsidRPr="0000434E" w:rsidRDefault="007C461C" w:rsidP="007C461C">
      <w:pPr>
        <w:jc w:val="both"/>
      </w:pPr>
      <w:r w:rsidRPr="0000434E">
        <w:t>Decide qual informação do estado da célula anterior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00434E">
        <w:t>) deve ser esquecida.</w:t>
      </w:r>
      <w:r w:rsidRPr="0000434E">
        <w:br/>
        <w:t>No contexto de inflação, isso pode representar o “esquecimento” de um choque de preço já irrelevante.</w:t>
      </w:r>
    </w:p>
    <w:p w14:paraId="62CE2168" w14:textId="60B017AF" w:rsidR="00381BDF" w:rsidRPr="0000434E" w:rsidRDefault="00000000" w:rsidP="00381BDF">
      <w:pPr>
        <w:jc w:val="both"/>
        <w:rPr>
          <w:i/>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3048549A" w14:textId="176FC3EF" w:rsidR="007C461C" w:rsidRPr="0000434E" w:rsidRDefault="007C461C" w:rsidP="007C461C">
      <w:pPr>
        <w:jc w:val="both"/>
      </w:pPr>
      <w:r w:rsidRPr="0000434E">
        <w:t>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0434E">
        <w:t>)</w:t>
      </w:r>
    </w:p>
    <w:p w14:paraId="61E26E43" w14:textId="36E5F253" w:rsidR="007C461C" w:rsidRPr="0000434E" w:rsidRDefault="007C461C" w:rsidP="007C461C">
      <w:pPr>
        <w:jc w:val="both"/>
      </w:pPr>
      <w:r w:rsidRPr="0000434E">
        <w:t>Decide qual informação do estado da célula anterior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00434E">
        <w:t>) deve ser esquecida.</w:t>
      </w:r>
      <w:r w:rsidRPr="0000434E">
        <w:br/>
        <w:t>No contexto de inflação, isso pode representar o “esquecimento” de um choque de preço já irrelevante.</w:t>
      </w:r>
    </w:p>
    <w:p w14:paraId="4FC43B0A" w14:textId="5CEBD119" w:rsidR="007C461C" w:rsidRPr="0000434E" w:rsidRDefault="00000000" w:rsidP="007C461C">
      <w:pPr>
        <w:jc w:val="both"/>
        <w:rPr>
          <w:lang w:val="en-US"/>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lang w:val="en-US"/>
            </w:rPr>
            <m:t>=</m:t>
          </m:r>
          <m:r>
            <w:rPr>
              <w:rFonts w:ascii="Cambria Math" w:hAnsi="Cambria Math"/>
            </w:rPr>
            <m:t>σ</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lang w:val="en-US"/>
                </w:rPr>
                <m:t>h</m:t>
              </m:r>
            </m:e>
            <m:sub>
              <m:r>
                <w:rPr>
                  <w:rFonts w:ascii="Cambria Math" w:hAnsi="Cambria Math"/>
                </w:rPr>
                <m:t>t</m:t>
              </m:r>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lang w:val="en-US"/>
            </w:rPr>
            <m:t>)</m:t>
          </m:r>
          <m:r>
            <m:rPr>
              <m:sty m:val="p"/>
            </m:rPr>
            <w:rPr>
              <w:rFonts w:ascii="Cambria Math" w:hAnsi="Cambria Math"/>
              <w:lang w:val="en-US"/>
            </w:rPr>
            <w:br/>
          </m:r>
        </m:oMath>
      </m:oMathPara>
      <w:r w:rsidR="007C461C" w:rsidRPr="0000434E">
        <w:rPr>
          <w:lang w:val="en-US"/>
        </w:rPr>
        <w:t>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7C461C" w:rsidRPr="0000434E">
        <w:rPr>
          <w:lang w:val="en-US"/>
        </w:rPr>
        <w:t>)</w:t>
      </w:r>
    </w:p>
    <w:p w14:paraId="3619DA88" w14:textId="4F6A1A04" w:rsidR="007C461C" w:rsidRPr="0000434E" w:rsidRDefault="007C461C" w:rsidP="007C461C">
      <w:pPr>
        <w:jc w:val="both"/>
      </w:pPr>
      <w:r w:rsidRPr="0000434E">
        <w:t>Determina qual nova informação da entrada atual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0434E">
        <w:t>) e do estado oculto anterior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00434E">
        <w:t>) deve ser armazenada na célula, capturando novos choques ou tendências emergentes.</w:t>
      </w:r>
    </w:p>
    <w:p w14:paraId="18E15C77" w14:textId="5918BA53" w:rsidR="007C461C" w:rsidRPr="0000434E" w:rsidRDefault="00000000" w:rsidP="007C461C">
      <w:pPr>
        <w:jc w:val="both"/>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rPr>
              <w:rFonts w:ascii="Cambria Math" w:hAnsi="Cambria Math"/>
            </w:rPr>
            <w:br/>
          </m:r>
        </m:oMath>
      </m:oMathPara>
    </w:p>
    <w:p w14:paraId="18A4F888" w14:textId="77777777" w:rsidR="007C461C" w:rsidRPr="0000434E" w:rsidRDefault="007C461C" w:rsidP="007C461C">
      <w:pPr>
        <w:jc w:val="both"/>
      </w:pPr>
      <w:r w:rsidRPr="0000434E">
        <w:t>Candidato ao novo estado da célula:</w:t>
      </w:r>
    </w:p>
    <w:p w14:paraId="250D6C9F" w14:textId="09DFE7F7" w:rsidR="007C461C" w:rsidRPr="0000434E" w:rsidRDefault="00000000" w:rsidP="007C461C">
      <w:pPr>
        <w:jc w:val="both"/>
        <w:rPr>
          <w:rFonts w:eastAsiaTheme="minorEastAsia"/>
          <w:i/>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5175B90C" w14:textId="38811F14" w:rsidR="007C461C" w:rsidRPr="0000434E" w:rsidRDefault="007C461C" w:rsidP="007C461C">
      <w:pPr>
        <w:jc w:val="both"/>
      </w:pPr>
      <w:r w:rsidRPr="0000434E">
        <w:rPr>
          <w:i/>
        </w:rPr>
        <w:br/>
      </w:r>
      <w:r w:rsidRPr="0000434E">
        <w:t>Atualização do Estado da Célula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00434E">
        <w:t>)</w:t>
      </w:r>
    </w:p>
    <w:p w14:paraId="2C48E47E" w14:textId="77777777" w:rsidR="007C461C" w:rsidRPr="0000434E" w:rsidRDefault="007C461C" w:rsidP="007C461C">
      <w:pPr>
        <w:jc w:val="both"/>
      </w:pPr>
      <w:r w:rsidRPr="0000434E">
        <w:t>Combina o quanto esquecer e o quanto adicionar de nova informação:</w:t>
      </w:r>
    </w:p>
    <w:p w14:paraId="56D3591A" w14:textId="74B4F831" w:rsidR="007C461C" w:rsidRPr="0000434E" w:rsidRDefault="00000000" w:rsidP="007C461C">
      <w:pPr>
        <w:jc w:val="both"/>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p w14:paraId="48227AB7" w14:textId="63B30BDB" w:rsidR="007C461C" w:rsidRPr="0000434E" w:rsidRDefault="007C461C" w:rsidP="007C461C">
      <w:pPr>
        <w:jc w:val="both"/>
      </w:pPr>
      <w:r w:rsidRPr="0000434E">
        <w:t>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00434E">
        <w:t>)</w:t>
      </w:r>
    </w:p>
    <w:p w14:paraId="6DCAA3B5" w14:textId="307CEAC9" w:rsidR="007C461C" w:rsidRPr="0000434E" w:rsidRDefault="007C461C" w:rsidP="007C461C">
      <w:pPr>
        <w:jc w:val="both"/>
      </w:pPr>
      <w:r w:rsidRPr="0000434E">
        <w:t>Decide qual parte do estado da célula deve ser exposta como saída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0434E">
        <w:t>), seja para o próximo passo temporal ou para a próxima camada da rede.</w:t>
      </w:r>
    </w:p>
    <w:p w14:paraId="11F73FCE" w14:textId="79F4FE36" w:rsidR="007C461C" w:rsidRPr="0000434E" w:rsidRDefault="00000000" w:rsidP="007C461C">
      <w:pPr>
        <w:jc w:val="both"/>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m:rPr>
              <m:sty m:val="p"/>
            </m:rPr>
            <w:rPr>
              <w:rFonts w:ascii="Cambria Math" w:hAnsi="Cambria Math"/>
            </w:rPr>
            <w:br/>
          </m:r>
        </m:oMath>
      </m:oMathPara>
    </w:p>
    <w:p w14:paraId="55578EC9" w14:textId="77777777" w:rsidR="007C461C" w:rsidRPr="0000434E" w:rsidRDefault="007C461C" w:rsidP="007C461C">
      <w:pPr>
        <w:jc w:val="both"/>
      </w:pPr>
      <w:r w:rsidRPr="0000434E">
        <w:lastRenderedPageBreak/>
        <w:t>Saída atual:</w:t>
      </w:r>
    </w:p>
    <w:p w14:paraId="33372146" w14:textId="6F6E31CB" w:rsidR="007C461C" w:rsidRPr="0000434E" w:rsidRDefault="00000000" w:rsidP="007C461C">
      <w:pPr>
        <w:jc w:val="both"/>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25B71E9D" w14:textId="4685A76F" w:rsidR="007C461C" w:rsidRPr="0000434E" w:rsidRDefault="007C461C">
      <w:r w:rsidRPr="0000434E">
        <w:t>Essa arquitetura confere à LSTM a capacidade de aprender padrões complexos, como sazonalidades anuais e, ao mesmo tempo, reagir a choques recentes o que a torna particularmente adequada para séries como o IPC-Fipe.</w:t>
      </w:r>
    </w:p>
    <w:p w14:paraId="779A9CE1" w14:textId="6B35C414" w:rsidR="004F7D70" w:rsidRPr="0000434E" w:rsidRDefault="004F7D70"/>
    <w:p w14:paraId="08B02D67" w14:textId="77777777" w:rsidR="004F7D70" w:rsidRPr="0000434E" w:rsidRDefault="004F7D70">
      <w:r w:rsidRPr="0000434E">
        <w:br w:type="page"/>
      </w:r>
    </w:p>
    <w:p w14:paraId="25DF9169" w14:textId="64C00FC9" w:rsidR="004F7D70" w:rsidRPr="0000434E" w:rsidRDefault="0000434E" w:rsidP="0000434E">
      <w:pPr>
        <w:pStyle w:val="Ttulo1"/>
      </w:pPr>
      <w:bookmarkStart w:id="8" w:name="_Toc214993541"/>
      <w:r>
        <w:lastRenderedPageBreak/>
        <w:t xml:space="preserve">VI - </w:t>
      </w:r>
      <w:r w:rsidR="004F7D70" w:rsidRPr="0000434E">
        <w:t>Análise Exploratória de Dados (Data Mining) e Contextualização Histórica</w:t>
      </w:r>
      <w:bookmarkEnd w:id="8"/>
    </w:p>
    <w:p w14:paraId="58630EA5" w14:textId="2C31B81D" w:rsidR="004F7D70" w:rsidRPr="0000434E" w:rsidRDefault="004F7D70" w:rsidP="004F7D70">
      <w:pPr>
        <w:jc w:val="both"/>
      </w:pPr>
      <w:r w:rsidRPr="0000434E">
        <w:t>A eficácia de qualquer modelo de </w:t>
      </w:r>
      <w:proofErr w:type="spellStart"/>
      <w:r w:rsidRPr="0000434E">
        <w:rPr>
          <w:i/>
          <w:iCs/>
        </w:rPr>
        <w:t>Deep</w:t>
      </w:r>
      <w:proofErr w:type="spellEnd"/>
      <w:r w:rsidRPr="0000434E">
        <w:rPr>
          <w:i/>
          <w:iCs/>
        </w:rPr>
        <w:t xml:space="preserve"> Learning</w:t>
      </w:r>
      <w:r w:rsidRPr="0000434E">
        <w:t xml:space="preserve"> é intrinsecamente dependente da qualidade e compreensão dos dados que o alimentam. A base de </w:t>
      </w:r>
      <w:r w:rsidR="009672CF" w:rsidRPr="0000434E">
        <w:t>dados foi</w:t>
      </w:r>
      <w:r w:rsidRPr="0000434E">
        <w:t xml:space="preserve"> submetida a um rigoroso processo de mineração e análise exploratória.</w:t>
      </w:r>
    </w:p>
    <w:p w14:paraId="778CEC06" w14:textId="77777777" w:rsidR="004F7D70" w:rsidRPr="00C61200" w:rsidRDefault="004F7D70" w:rsidP="004F7D70">
      <w:pPr>
        <w:jc w:val="both"/>
        <w:rPr>
          <w:rFonts w:eastAsiaTheme="minorEastAsia"/>
          <w:b/>
          <w:bCs/>
        </w:rPr>
      </w:pPr>
      <w:r w:rsidRPr="00C61200">
        <w:rPr>
          <w:rFonts w:eastAsiaTheme="minorEastAsia"/>
          <w:b/>
          <w:bCs/>
        </w:rPr>
        <w:t>Estrutura e Integridade dos Dados</w:t>
      </w:r>
    </w:p>
    <w:p w14:paraId="40693E8E" w14:textId="77777777" w:rsidR="004F7D70" w:rsidRPr="0000434E" w:rsidRDefault="004F7D70" w:rsidP="004F7D70">
      <w:pPr>
        <w:numPr>
          <w:ilvl w:val="0"/>
          <w:numId w:val="29"/>
        </w:numPr>
        <w:jc w:val="both"/>
        <w:rPr>
          <w:rFonts w:eastAsiaTheme="minorEastAsia"/>
        </w:rPr>
      </w:pPr>
      <w:r w:rsidRPr="006D6C91">
        <w:rPr>
          <w:rFonts w:eastAsiaTheme="minorEastAsia"/>
          <w:b/>
          <w:bCs/>
        </w:rPr>
        <w:t>Arquivo:</w:t>
      </w:r>
      <w:r w:rsidRPr="0000434E">
        <w:rPr>
          <w:rFonts w:eastAsiaTheme="minorEastAsia"/>
        </w:rPr>
        <w:t> STP-20251124190950218.csv</w:t>
      </w:r>
    </w:p>
    <w:p w14:paraId="2091B73D" w14:textId="1E4A8B54" w:rsidR="004F7D70" w:rsidRPr="0000434E" w:rsidRDefault="004F7D70" w:rsidP="004F7D70">
      <w:pPr>
        <w:numPr>
          <w:ilvl w:val="0"/>
          <w:numId w:val="29"/>
        </w:numPr>
        <w:jc w:val="both"/>
        <w:rPr>
          <w:rFonts w:eastAsiaTheme="minorEastAsia"/>
        </w:rPr>
      </w:pPr>
      <w:r w:rsidRPr="006D6C91">
        <w:rPr>
          <w:rFonts w:eastAsiaTheme="minorEastAsia"/>
          <w:b/>
          <w:bCs/>
        </w:rPr>
        <w:t>Origem: Banco Central Do Brasil</w:t>
      </w:r>
      <w:r w:rsidRPr="0000434E">
        <w:rPr>
          <w:rFonts w:eastAsiaTheme="minorEastAsia"/>
        </w:rPr>
        <w:t xml:space="preserve"> – Atividade econômica e preços.</w:t>
      </w:r>
    </w:p>
    <w:p w14:paraId="112F56FC" w14:textId="77777777" w:rsidR="004F7D70" w:rsidRPr="0000434E" w:rsidRDefault="004F7D70" w:rsidP="004F7D70">
      <w:pPr>
        <w:numPr>
          <w:ilvl w:val="0"/>
          <w:numId w:val="29"/>
        </w:numPr>
        <w:jc w:val="both"/>
        <w:rPr>
          <w:rFonts w:eastAsiaTheme="minorEastAsia"/>
        </w:rPr>
      </w:pPr>
      <w:r w:rsidRPr="006D6C91">
        <w:rPr>
          <w:rFonts w:eastAsiaTheme="minorEastAsia"/>
          <w:b/>
          <w:bCs/>
        </w:rPr>
        <w:t>Série:</w:t>
      </w:r>
      <w:r w:rsidRPr="0000434E">
        <w:rPr>
          <w:rFonts w:eastAsiaTheme="minorEastAsia"/>
        </w:rPr>
        <w:t> 7465 - Índice de Preços ao Consumidor (IPC-Fipe) - Alimentação - Variação % mensal.</w:t>
      </w:r>
    </w:p>
    <w:p w14:paraId="6028C162" w14:textId="77777777" w:rsidR="004F7D70" w:rsidRPr="0000434E" w:rsidRDefault="004F7D70" w:rsidP="004F7D70">
      <w:pPr>
        <w:numPr>
          <w:ilvl w:val="0"/>
          <w:numId w:val="29"/>
        </w:numPr>
        <w:jc w:val="both"/>
        <w:rPr>
          <w:rFonts w:eastAsiaTheme="minorEastAsia"/>
        </w:rPr>
      </w:pPr>
      <w:r w:rsidRPr="006D6C91">
        <w:rPr>
          <w:rFonts w:eastAsiaTheme="minorEastAsia"/>
          <w:b/>
          <w:bCs/>
        </w:rPr>
        <w:t>Período:</w:t>
      </w:r>
      <w:r w:rsidRPr="0000434E">
        <w:rPr>
          <w:rFonts w:eastAsiaTheme="minorEastAsia"/>
        </w:rPr>
        <w:t> </w:t>
      </w:r>
      <w:proofErr w:type="gramStart"/>
      <w:r w:rsidRPr="0000434E">
        <w:rPr>
          <w:rFonts w:eastAsiaTheme="minorEastAsia"/>
        </w:rPr>
        <w:t>Janeiro</w:t>
      </w:r>
      <w:proofErr w:type="gramEnd"/>
      <w:r w:rsidRPr="0000434E">
        <w:rPr>
          <w:rFonts w:eastAsiaTheme="minorEastAsia"/>
        </w:rPr>
        <w:t xml:space="preserve"> de 1997 a </w:t>
      </w:r>
      <w:proofErr w:type="gramStart"/>
      <w:r w:rsidRPr="0000434E">
        <w:rPr>
          <w:rFonts w:eastAsiaTheme="minorEastAsia"/>
        </w:rPr>
        <w:t>Outubro</w:t>
      </w:r>
      <w:proofErr w:type="gramEnd"/>
      <w:r w:rsidRPr="0000434E">
        <w:rPr>
          <w:rFonts w:eastAsiaTheme="minorEastAsia"/>
        </w:rPr>
        <w:t xml:space="preserve"> de 2025.</w:t>
      </w:r>
    </w:p>
    <w:p w14:paraId="168FC384" w14:textId="77777777" w:rsidR="004F7D70" w:rsidRPr="0000434E" w:rsidRDefault="004F7D70" w:rsidP="004F7D70">
      <w:pPr>
        <w:numPr>
          <w:ilvl w:val="0"/>
          <w:numId w:val="29"/>
        </w:numPr>
        <w:jc w:val="both"/>
        <w:rPr>
          <w:rFonts w:eastAsiaTheme="minorEastAsia"/>
        </w:rPr>
      </w:pPr>
      <w:r w:rsidRPr="006D6C91">
        <w:rPr>
          <w:rFonts w:eastAsiaTheme="minorEastAsia"/>
          <w:b/>
          <w:bCs/>
        </w:rPr>
        <w:t>Frequência:</w:t>
      </w:r>
      <w:r w:rsidRPr="0000434E">
        <w:rPr>
          <w:rFonts w:eastAsiaTheme="minorEastAsia"/>
        </w:rPr>
        <w:t> Mensal.</w:t>
      </w:r>
    </w:p>
    <w:p w14:paraId="244C5C8C" w14:textId="77777777" w:rsidR="004F7D70" w:rsidRPr="0000434E" w:rsidRDefault="004F7D70" w:rsidP="004F7D70">
      <w:pPr>
        <w:numPr>
          <w:ilvl w:val="0"/>
          <w:numId w:val="29"/>
        </w:numPr>
        <w:jc w:val="both"/>
        <w:rPr>
          <w:rFonts w:eastAsiaTheme="minorEastAsia"/>
        </w:rPr>
      </w:pPr>
      <w:r w:rsidRPr="006D6C91">
        <w:rPr>
          <w:rFonts w:eastAsiaTheme="minorEastAsia"/>
          <w:b/>
          <w:bCs/>
        </w:rPr>
        <w:t>Formato:</w:t>
      </w:r>
      <w:r w:rsidRPr="0000434E">
        <w:rPr>
          <w:rFonts w:eastAsiaTheme="minorEastAsia"/>
        </w:rPr>
        <w:t> CSV com separador de ponto e vírgula (;), utilizando vírgula para decimais (padrão brasileiro).</w:t>
      </w:r>
    </w:p>
    <w:p w14:paraId="6392E491" w14:textId="6E7CB776" w:rsidR="004F7D70" w:rsidRPr="0000434E" w:rsidRDefault="004F7D70" w:rsidP="004F7D70">
      <w:pPr>
        <w:jc w:val="both"/>
        <w:rPr>
          <w:rFonts w:eastAsiaTheme="minorEastAsia"/>
        </w:rPr>
      </w:pPr>
      <w:r w:rsidRPr="006D6C91">
        <w:rPr>
          <w:rFonts w:eastAsiaTheme="minorEastAsia"/>
          <w:b/>
          <w:bCs/>
        </w:rPr>
        <w:t>Verificação de Qualidade:</w:t>
      </w:r>
      <w:r w:rsidRPr="0000434E">
        <w:rPr>
          <w:rFonts w:eastAsiaTheme="minorEastAsia"/>
        </w:rPr>
        <w:t> A inspeção inicial revelou uma série contínua de 346 observações sem valores nulos. A consistência temporal foi verificada, garantindo que não há saltos nos meses. O formato dos dados exigiu pré-processamento para conversão de </w:t>
      </w:r>
      <w:proofErr w:type="spellStart"/>
      <w:r w:rsidRPr="0000434E">
        <w:rPr>
          <w:rFonts w:eastAsiaTheme="minorEastAsia"/>
          <w:i/>
          <w:iCs/>
        </w:rPr>
        <w:t>string</w:t>
      </w:r>
      <w:proofErr w:type="spellEnd"/>
      <w:r w:rsidRPr="0000434E">
        <w:rPr>
          <w:rFonts w:eastAsiaTheme="minorEastAsia"/>
        </w:rPr>
        <w:t xml:space="preserve"> para </w:t>
      </w:r>
      <w:proofErr w:type="spellStart"/>
      <w:r w:rsidRPr="0000434E">
        <w:rPr>
          <w:rFonts w:eastAsiaTheme="minorEastAsia"/>
          <w:i/>
          <w:iCs/>
        </w:rPr>
        <w:t>float</w:t>
      </w:r>
      <w:proofErr w:type="spellEnd"/>
      <w:r w:rsidRPr="0000434E">
        <w:rPr>
          <w:rFonts w:eastAsiaTheme="minorEastAsia"/>
          <w:i/>
          <w:iCs/>
        </w:rPr>
        <w:t xml:space="preserve"> </w:t>
      </w:r>
      <w:r w:rsidRPr="0000434E">
        <w:rPr>
          <w:rFonts w:eastAsiaTheme="minorEastAsia"/>
        </w:rPr>
        <w:t>e a transformação da coluna de datas em índice temporal do tipo </w:t>
      </w:r>
      <w:proofErr w:type="spellStart"/>
      <w:r w:rsidRPr="0000434E">
        <w:rPr>
          <w:rFonts w:eastAsiaTheme="minorEastAsia"/>
        </w:rPr>
        <w:t>datetime</w:t>
      </w:r>
      <w:proofErr w:type="spellEnd"/>
      <w:r w:rsidRPr="0000434E">
        <w:rPr>
          <w:rFonts w:eastAsiaTheme="minorEastAsia"/>
        </w:rPr>
        <w:t>.</w:t>
      </w:r>
      <w:r w:rsidRPr="0000434E">
        <w:rPr>
          <w:rFonts w:eastAsiaTheme="minorEastAsia"/>
        </w:rPr>
        <w:br w:type="page"/>
      </w:r>
    </w:p>
    <w:p w14:paraId="419727E6" w14:textId="77777777" w:rsidR="004F7D70" w:rsidRPr="00C61200" w:rsidRDefault="004F7D70" w:rsidP="004F7D70">
      <w:pPr>
        <w:jc w:val="both"/>
        <w:rPr>
          <w:rFonts w:eastAsiaTheme="minorEastAsia"/>
          <w:b/>
          <w:bCs/>
        </w:rPr>
      </w:pPr>
      <w:r w:rsidRPr="00C61200">
        <w:rPr>
          <w:rFonts w:eastAsiaTheme="minorEastAsia"/>
          <w:b/>
          <w:bCs/>
        </w:rPr>
        <w:lastRenderedPageBreak/>
        <w:t>Estatística Descritiva da Série</w:t>
      </w:r>
    </w:p>
    <w:p w14:paraId="5EE26A1C" w14:textId="77777777" w:rsidR="004F7D70" w:rsidRPr="0000434E" w:rsidRDefault="004F7D70" w:rsidP="004F7D70">
      <w:pPr>
        <w:jc w:val="both"/>
        <w:rPr>
          <w:rFonts w:eastAsiaTheme="minorEastAsia"/>
        </w:rPr>
      </w:pPr>
      <w:r w:rsidRPr="0000434E">
        <w:rPr>
          <w:rFonts w:eastAsiaTheme="minorEastAsia"/>
        </w:rPr>
        <w:t>A tabela abaixo resume as principais métricas estatísticas extraídas da série histórica. Estas métricas fornecem uma visão quantitativa da volatilidade e tendência central do índice.</w:t>
      </w:r>
    </w:p>
    <w:p w14:paraId="4B1F0AF4" w14:textId="77777777" w:rsidR="00F750B8" w:rsidRPr="0000434E" w:rsidRDefault="00F750B8" w:rsidP="004F7D70">
      <w:pPr>
        <w:jc w:val="both"/>
        <w:rPr>
          <w:rFonts w:eastAsiaTheme="minorEastAsia"/>
        </w:rPr>
      </w:pPr>
    </w:p>
    <w:tbl>
      <w:tblPr>
        <w:tblW w:w="10040" w:type="dxa"/>
        <w:tblInd w:w="-779" w:type="dxa"/>
        <w:tblCellMar>
          <w:left w:w="70" w:type="dxa"/>
          <w:right w:w="70" w:type="dxa"/>
        </w:tblCellMar>
        <w:tblLook w:val="04A0" w:firstRow="1" w:lastRow="0" w:firstColumn="1" w:lastColumn="0" w:noHBand="0" w:noVBand="1"/>
      </w:tblPr>
      <w:tblGrid>
        <w:gridCol w:w="2260"/>
        <w:gridCol w:w="1340"/>
        <w:gridCol w:w="6440"/>
      </w:tblGrid>
      <w:tr w:rsidR="004F7D70" w:rsidRPr="0000434E" w14:paraId="001B7FB0" w14:textId="77777777" w:rsidTr="004F7D70">
        <w:trPr>
          <w:trHeight w:val="315"/>
        </w:trPr>
        <w:tc>
          <w:tcPr>
            <w:tcW w:w="226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vAlign w:val="center"/>
            <w:hideMark/>
          </w:tcPr>
          <w:p w14:paraId="539D6AF9" w14:textId="77777777" w:rsidR="004F7D70" w:rsidRPr="0000434E" w:rsidRDefault="004F7D70" w:rsidP="004F7D70">
            <w:pPr>
              <w:spacing w:after="0" w:line="240" w:lineRule="auto"/>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Métrica Estatística</w:t>
            </w:r>
          </w:p>
        </w:tc>
        <w:tc>
          <w:tcPr>
            <w:tcW w:w="1340" w:type="dxa"/>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591DA8C6" w14:textId="77777777" w:rsidR="004F7D70" w:rsidRPr="0000434E" w:rsidRDefault="004F7D70" w:rsidP="004F7D70">
            <w:pPr>
              <w:spacing w:after="0" w:line="240" w:lineRule="auto"/>
              <w:ind w:firstLineChars="100" w:firstLine="220"/>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Valor (%)</w:t>
            </w:r>
          </w:p>
        </w:tc>
        <w:tc>
          <w:tcPr>
            <w:tcW w:w="6440" w:type="dxa"/>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61E0975C" w14:textId="77777777" w:rsidR="004F7D70" w:rsidRPr="0000434E" w:rsidRDefault="004F7D70" w:rsidP="004F7D70">
            <w:pPr>
              <w:spacing w:after="0" w:line="240" w:lineRule="auto"/>
              <w:ind w:firstLineChars="100" w:firstLine="220"/>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Interpretação</w:t>
            </w:r>
          </w:p>
        </w:tc>
      </w:tr>
      <w:tr w:rsidR="004F7D70" w:rsidRPr="0000434E" w14:paraId="788B3B93" w14:textId="77777777" w:rsidTr="004F7D70">
        <w:trPr>
          <w:trHeight w:val="870"/>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39FE3F8E"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Contagem</w:t>
            </w:r>
          </w:p>
        </w:tc>
        <w:tc>
          <w:tcPr>
            <w:tcW w:w="1340" w:type="dxa"/>
            <w:tcBorders>
              <w:top w:val="nil"/>
              <w:left w:val="nil"/>
              <w:bottom w:val="single" w:sz="8" w:space="0" w:color="000000"/>
              <w:right w:val="single" w:sz="8" w:space="0" w:color="000000"/>
            </w:tcBorders>
            <w:vAlign w:val="center"/>
            <w:hideMark/>
          </w:tcPr>
          <w:p w14:paraId="69D90267" w14:textId="77777777" w:rsidR="004F7D70" w:rsidRPr="0000434E" w:rsidRDefault="004F7D70" w:rsidP="00F750B8">
            <w:pPr>
              <w:spacing w:after="0" w:line="240" w:lineRule="auto"/>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346 meses</w:t>
            </w:r>
          </w:p>
        </w:tc>
        <w:tc>
          <w:tcPr>
            <w:tcW w:w="6440" w:type="dxa"/>
            <w:tcBorders>
              <w:top w:val="nil"/>
              <w:left w:val="nil"/>
              <w:bottom w:val="single" w:sz="8" w:space="0" w:color="000000"/>
              <w:right w:val="single" w:sz="8" w:space="0" w:color="000000"/>
            </w:tcBorders>
            <w:vAlign w:val="center"/>
            <w:hideMark/>
          </w:tcPr>
          <w:p w14:paraId="453E0D26" w14:textId="0795BA53"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Tamanho da amostra suficiente para treinamento de redes</w:t>
            </w:r>
            <w:r w:rsidR="00F750B8" w:rsidRPr="0000434E">
              <w:rPr>
                <w:rFonts w:ascii="Arial" w:eastAsia="Times New Roman" w:hAnsi="Arial" w:cs="Arial"/>
                <w:color w:val="1F1F1F"/>
                <w:kern w:val="0"/>
                <w:sz w:val="22"/>
                <w:szCs w:val="22"/>
                <w:lang w:eastAsia="pt-BR"/>
                <w14:ligatures w14:val="none"/>
              </w:rPr>
              <w:t xml:space="preserve"> </w:t>
            </w:r>
            <w:r w:rsidRPr="0000434E">
              <w:rPr>
                <w:rFonts w:ascii="Arial" w:eastAsia="Times New Roman" w:hAnsi="Arial" w:cs="Arial"/>
                <w:color w:val="1F1F1F"/>
                <w:kern w:val="0"/>
                <w:sz w:val="22"/>
                <w:szCs w:val="22"/>
                <w:lang w:eastAsia="pt-BR"/>
                <w14:ligatures w14:val="none"/>
              </w:rPr>
              <w:t xml:space="preserve">neurais, embora considerado "pequeno data" para padrões de </w:t>
            </w:r>
            <w:r w:rsidRPr="0000434E">
              <w:rPr>
                <w:rFonts w:ascii="Arial" w:eastAsia="Times New Roman" w:hAnsi="Arial" w:cs="Arial"/>
                <w:i/>
                <w:iCs/>
                <w:color w:val="1F1F1F"/>
                <w:kern w:val="0"/>
                <w:sz w:val="22"/>
                <w:szCs w:val="22"/>
                <w:lang w:eastAsia="pt-BR"/>
                <w14:ligatures w14:val="none"/>
              </w:rPr>
              <w:t>Big Data</w:t>
            </w:r>
            <w:r w:rsidRPr="0000434E">
              <w:rPr>
                <w:rFonts w:ascii="Arial" w:eastAsia="Times New Roman" w:hAnsi="Arial" w:cs="Arial"/>
                <w:color w:val="1F1F1F"/>
                <w:kern w:val="0"/>
                <w:sz w:val="22"/>
                <w:szCs w:val="22"/>
                <w:lang w:eastAsia="pt-BR"/>
                <w14:ligatures w14:val="none"/>
              </w:rPr>
              <w:t>.</w:t>
            </w:r>
          </w:p>
        </w:tc>
      </w:tr>
      <w:tr w:rsidR="004F7D70" w:rsidRPr="0000434E" w14:paraId="3E065AA6"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10796F4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Média</w:t>
            </w:r>
          </w:p>
        </w:tc>
        <w:tc>
          <w:tcPr>
            <w:tcW w:w="1340" w:type="dxa"/>
            <w:tcBorders>
              <w:top w:val="nil"/>
              <w:left w:val="nil"/>
              <w:bottom w:val="single" w:sz="8" w:space="0" w:color="000000"/>
              <w:right w:val="single" w:sz="8" w:space="0" w:color="000000"/>
            </w:tcBorders>
            <w:vAlign w:val="center"/>
            <w:hideMark/>
          </w:tcPr>
          <w:p w14:paraId="1DAE36B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0,65%</w:t>
            </w:r>
          </w:p>
        </w:tc>
        <w:tc>
          <w:tcPr>
            <w:tcW w:w="6440" w:type="dxa"/>
            <w:tcBorders>
              <w:top w:val="nil"/>
              <w:left w:val="nil"/>
              <w:bottom w:val="single" w:sz="8" w:space="0" w:color="000000"/>
              <w:right w:val="single" w:sz="8" w:space="0" w:color="000000"/>
            </w:tcBorders>
            <w:vAlign w:val="center"/>
            <w:hideMark/>
          </w:tcPr>
          <w:p w14:paraId="3F767229"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Inflação média mensal positiva, indicando tendência secular de aumento de preços.</w:t>
            </w:r>
          </w:p>
        </w:tc>
      </w:tr>
      <w:tr w:rsidR="004F7D70" w:rsidRPr="0000434E" w14:paraId="0F154AD0"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14D05E49"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Desvio Padrão</w:t>
            </w:r>
          </w:p>
        </w:tc>
        <w:tc>
          <w:tcPr>
            <w:tcW w:w="1340" w:type="dxa"/>
            <w:tcBorders>
              <w:top w:val="nil"/>
              <w:left w:val="nil"/>
              <w:bottom w:val="single" w:sz="8" w:space="0" w:color="000000"/>
              <w:right w:val="single" w:sz="8" w:space="0" w:color="000000"/>
            </w:tcBorders>
            <w:vAlign w:val="center"/>
            <w:hideMark/>
          </w:tcPr>
          <w:p w14:paraId="18BDD10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1,02%</w:t>
            </w:r>
          </w:p>
        </w:tc>
        <w:tc>
          <w:tcPr>
            <w:tcW w:w="6440" w:type="dxa"/>
            <w:tcBorders>
              <w:top w:val="nil"/>
              <w:left w:val="nil"/>
              <w:bottom w:val="single" w:sz="8" w:space="0" w:color="000000"/>
              <w:right w:val="single" w:sz="8" w:space="0" w:color="000000"/>
            </w:tcBorders>
            <w:vAlign w:val="center"/>
            <w:hideMark/>
          </w:tcPr>
          <w:p w14:paraId="45094127"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Alta dispersão, indicando que a "média" raramente representa a realidade de um mês específico.</w:t>
            </w:r>
          </w:p>
        </w:tc>
      </w:tr>
      <w:tr w:rsidR="004F7D70" w:rsidRPr="0000434E" w14:paraId="219480AB"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3EE3D8A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Mínimo</w:t>
            </w:r>
          </w:p>
        </w:tc>
        <w:tc>
          <w:tcPr>
            <w:tcW w:w="1340" w:type="dxa"/>
            <w:tcBorders>
              <w:top w:val="nil"/>
              <w:left w:val="nil"/>
              <w:bottom w:val="single" w:sz="8" w:space="0" w:color="000000"/>
              <w:right w:val="single" w:sz="8" w:space="0" w:color="000000"/>
            </w:tcBorders>
            <w:vAlign w:val="center"/>
            <w:hideMark/>
          </w:tcPr>
          <w:p w14:paraId="45FAE591"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-1,96%</w:t>
            </w:r>
          </w:p>
        </w:tc>
        <w:tc>
          <w:tcPr>
            <w:tcW w:w="6440" w:type="dxa"/>
            <w:tcBorders>
              <w:top w:val="nil"/>
              <w:left w:val="nil"/>
              <w:bottom w:val="single" w:sz="8" w:space="0" w:color="000000"/>
              <w:right w:val="single" w:sz="8" w:space="0" w:color="000000"/>
            </w:tcBorders>
            <w:vAlign w:val="center"/>
            <w:hideMark/>
          </w:tcPr>
          <w:p w14:paraId="4545CB49"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 xml:space="preserve">Ocorreu em </w:t>
            </w:r>
            <w:proofErr w:type="gramStart"/>
            <w:r w:rsidRPr="0000434E">
              <w:rPr>
                <w:rFonts w:ascii="Arial" w:eastAsia="Times New Roman" w:hAnsi="Arial" w:cs="Arial"/>
                <w:color w:val="1F1F1F"/>
                <w:kern w:val="0"/>
                <w:sz w:val="22"/>
                <w:szCs w:val="22"/>
                <w:lang w:eastAsia="pt-BR"/>
                <w14:ligatures w14:val="none"/>
              </w:rPr>
              <w:t>Maio</w:t>
            </w:r>
            <w:proofErr w:type="gramEnd"/>
            <w:r w:rsidRPr="0000434E">
              <w:rPr>
                <w:rFonts w:ascii="Arial" w:eastAsia="Times New Roman" w:hAnsi="Arial" w:cs="Arial"/>
                <w:color w:val="1F1F1F"/>
                <w:kern w:val="0"/>
                <w:sz w:val="22"/>
                <w:szCs w:val="22"/>
                <w:lang w:eastAsia="pt-BR"/>
                <w14:ligatures w14:val="none"/>
              </w:rPr>
              <w:t>/1999 (Deflação forte).</w:t>
            </w:r>
          </w:p>
        </w:tc>
      </w:tr>
      <w:tr w:rsidR="004F7D70" w:rsidRPr="0000434E" w14:paraId="467AE001"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5918EF18"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Máximo</w:t>
            </w:r>
          </w:p>
        </w:tc>
        <w:tc>
          <w:tcPr>
            <w:tcW w:w="1340" w:type="dxa"/>
            <w:tcBorders>
              <w:top w:val="nil"/>
              <w:left w:val="nil"/>
              <w:bottom w:val="single" w:sz="8" w:space="0" w:color="000000"/>
              <w:right w:val="single" w:sz="8" w:space="0" w:color="000000"/>
            </w:tcBorders>
            <w:vAlign w:val="center"/>
            <w:hideMark/>
          </w:tcPr>
          <w:p w14:paraId="2C9956CB"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6,27%</w:t>
            </w:r>
          </w:p>
        </w:tc>
        <w:tc>
          <w:tcPr>
            <w:tcW w:w="6440" w:type="dxa"/>
            <w:tcBorders>
              <w:top w:val="nil"/>
              <w:left w:val="nil"/>
              <w:bottom w:val="single" w:sz="8" w:space="0" w:color="000000"/>
              <w:right w:val="single" w:sz="8" w:space="0" w:color="000000"/>
            </w:tcBorders>
            <w:vAlign w:val="center"/>
            <w:hideMark/>
          </w:tcPr>
          <w:p w14:paraId="11A372E1"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 xml:space="preserve">Ocorreu em </w:t>
            </w:r>
            <w:proofErr w:type="gramStart"/>
            <w:r w:rsidRPr="0000434E">
              <w:rPr>
                <w:rFonts w:ascii="Arial" w:eastAsia="Times New Roman" w:hAnsi="Arial" w:cs="Arial"/>
                <w:color w:val="1F1F1F"/>
                <w:kern w:val="0"/>
                <w:sz w:val="22"/>
                <w:szCs w:val="22"/>
                <w:lang w:eastAsia="pt-BR"/>
                <w14:ligatures w14:val="none"/>
              </w:rPr>
              <w:t>Novembro</w:t>
            </w:r>
            <w:proofErr w:type="gramEnd"/>
            <w:r w:rsidRPr="0000434E">
              <w:rPr>
                <w:rFonts w:ascii="Arial" w:eastAsia="Times New Roman" w:hAnsi="Arial" w:cs="Arial"/>
                <w:color w:val="1F1F1F"/>
                <w:kern w:val="0"/>
                <w:sz w:val="22"/>
                <w:szCs w:val="22"/>
                <w:lang w:eastAsia="pt-BR"/>
                <w14:ligatures w14:val="none"/>
              </w:rPr>
              <w:t>/2002 (Choque cambial/Eleitoral).</w:t>
            </w:r>
          </w:p>
        </w:tc>
      </w:tr>
      <w:tr w:rsidR="004F7D70" w:rsidRPr="0000434E" w14:paraId="3B41869B"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72F05E07"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Mediana</w:t>
            </w:r>
          </w:p>
        </w:tc>
        <w:tc>
          <w:tcPr>
            <w:tcW w:w="1340" w:type="dxa"/>
            <w:tcBorders>
              <w:top w:val="nil"/>
              <w:left w:val="nil"/>
              <w:bottom w:val="single" w:sz="8" w:space="0" w:color="000000"/>
              <w:right w:val="single" w:sz="8" w:space="0" w:color="000000"/>
            </w:tcBorders>
            <w:vAlign w:val="center"/>
            <w:hideMark/>
          </w:tcPr>
          <w:p w14:paraId="0A542051"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0,55%</w:t>
            </w:r>
          </w:p>
        </w:tc>
        <w:tc>
          <w:tcPr>
            <w:tcW w:w="6440" w:type="dxa"/>
            <w:tcBorders>
              <w:top w:val="nil"/>
              <w:left w:val="nil"/>
              <w:bottom w:val="single" w:sz="8" w:space="0" w:color="000000"/>
              <w:right w:val="single" w:sz="8" w:space="0" w:color="000000"/>
            </w:tcBorders>
            <w:vAlign w:val="center"/>
            <w:hideMark/>
          </w:tcPr>
          <w:p w14:paraId="58687AF2"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Inferior à média, sugerindo uma distribuição assimétrica positiva (</w:t>
            </w:r>
            <w:proofErr w:type="spellStart"/>
            <w:r w:rsidRPr="0000434E">
              <w:rPr>
                <w:rFonts w:ascii="Arial" w:eastAsia="Times New Roman" w:hAnsi="Arial" w:cs="Arial"/>
                <w:i/>
                <w:iCs/>
                <w:color w:val="1F1F1F"/>
                <w:kern w:val="0"/>
                <w:sz w:val="22"/>
                <w:szCs w:val="22"/>
                <w:lang w:eastAsia="pt-BR"/>
                <w14:ligatures w14:val="none"/>
              </w:rPr>
              <w:t>Right</w:t>
            </w:r>
            <w:proofErr w:type="spellEnd"/>
            <w:r w:rsidRPr="0000434E">
              <w:rPr>
                <w:rFonts w:ascii="Arial" w:eastAsia="Times New Roman" w:hAnsi="Arial" w:cs="Arial"/>
                <w:i/>
                <w:iCs/>
                <w:color w:val="1F1F1F"/>
                <w:kern w:val="0"/>
                <w:sz w:val="22"/>
                <w:szCs w:val="22"/>
                <w:lang w:eastAsia="pt-BR"/>
                <w14:ligatures w14:val="none"/>
              </w:rPr>
              <w:t xml:space="preserve"> </w:t>
            </w:r>
            <w:proofErr w:type="spellStart"/>
            <w:r w:rsidRPr="0000434E">
              <w:rPr>
                <w:rFonts w:ascii="Arial" w:eastAsia="Times New Roman" w:hAnsi="Arial" w:cs="Arial"/>
                <w:i/>
                <w:iCs/>
                <w:color w:val="1F1F1F"/>
                <w:kern w:val="0"/>
                <w:sz w:val="22"/>
                <w:szCs w:val="22"/>
                <w:lang w:eastAsia="pt-BR"/>
                <w14:ligatures w14:val="none"/>
              </w:rPr>
              <w:t>Skewed</w:t>
            </w:r>
            <w:proofErr w:type="spellEnd"/>
            <w:r w:rsidRPr="0000434E">
              <w:rPr>
                <w:rFonts w:ascii="Arial" w:eastAsia="Times New Roman" w:hAnsi="Arial" w:cs="Arial"/>
                <w:color w:val="1F1F1F"/>
                <w:kern w:val="0"/>
                <w:sz w:val="22"/>
                <w:szCs w:val="22"/>
                <w:lang w:eastAsia="pt-BR"/>
                <w14:ligatures w14:val="none"/>
              </w:rPr>
              <w:t>).</w:t>
            </w:r>
          </w:p>
        </w:tc>
      </w:tr>
      <w:tr w:rsidR="004F7D70" w:rsidRPr="0000434E" w14:paraId="2AF7C9CF" w14:textId="77777777" w:rsidTr="004F7D70">
        <w:trPr>
          <w:trHeight w:val="31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5BD5C957"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Percentil 25% (Q1)</w:t>
            </w:r>
          </w:p>
        </w:tc>
        <w:tc>
          <w:tcPr>
            <w:tcW w:w="1340" w:type="dxa"/>
            <w:tcBorders>
              <w:top w:val="nil"/>
              <w:left w:val="nil"/>
              <w:bottom w:val="single" w:sz="8" w:space="0" w:color="000000"/>
              <w:right w:val="single" w:sz="8" w:space="0" w:color="000000"/>
            </w:tcBorders>
            <w:vAlign w:val="center"/>
            <w:hideMark/>
          </w:tcPr>
          <w:p w14:paraId="3399F110"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0,02%</w:t>
            </w:r>
          </w:p>
        </w:tc>
        <w:tc>
          <w:tcPr>
            <w:tcW w:w="6440" w:type="dxa"/>
            <w:tcBorders>
              <w:top w:val="nil"/>
              <w:left w:val="nil"/>
              <w:bottom w:val="single" w:sz="8" w:space="0" w:color="000000"/>
              <w:right w:val="single" w:sz="8" w:space="0" w:color="000000"/>
            </w:tcBorders>
            <w:vAlign w:val="center"/>
            <w:hideMark/>
          </w:tcPr>
          <w:p w14:paraId="33C1C037"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Em 25% dos meses, a inflação é próxima de zero.</w:t>
            </w:r>
          </w:p>
        </w:tc>
      </w:tr>
      <w:tr w:rsidR="004F7D70" w:rsidRPr="0000434E" w14:paraId="28496CE2" w14:textId="77777777" w:rsidTr="004F7D70">
        <w:trPr>
          <w:trHeight w:val="585"/>
        </w:trPr>
        <w:tc>
          <w:tcPr>
            <w:tcW w:w="2260" w:type="dxa"/>
            <w:tcBorders>
              <w:top w:val="nil"/>
              <w:left w:val="single" w:sz="8" w:space="0" w:color="000000"/>
              <w:bottom w:val="single" w:sz="8" w:space="0" w:color="000000"/>
              <w:right w:val="single" w:sz="8" w:space="0" w:color="000000"/>
            </w:tcBorders>
            <w:shd w:val="clear" w:color="auto" w:fill="D1D1D1" w:themeFill="background2" w:themeFillShade="E6"/>
            <w:vAlign w:val="center"/>
            <w:hideMark/>
          </w:tcPr>
          <w:p w14:paraId="7F05DD2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Percentil 75% (Q3)</w:t>
            </w:r>
          </w:p>
        </w:tc>
        <w:tc>
          <w:tcPr>
            <w:tcW w:w="1340" w:type="dxa"/>
            <w:tcBorders>
              <w:top w:val="nil"/>
              <w:left w:val="nil"/>
              <w:bottom w:val="single" w:sz="8" w:space="0" w:color="000000"/>
              <w:right w:val="single" w:sz="8" w:space="0" w:color="000000"/>
            </w:tcBorders>
            <w:vAlign w:val="center"/>
            <w:hideMark/>
          </w:tcPr>
          <w:p w14:paraId="1F01B134" w14:textId="77777777" w:rsidR="004F7D70" w:rsidRPr="0000434E" w:rsidRDefault="004F7D70" w:rsidP="00F750B8">
            <w:pPr>
              <w:spacing w:after="0" w:line="240" w:lineRule="auto"/>
              <w:jc w:val="center"/>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1,17%</w:t>
            </w:r>
          </w:p>
        </w:tc>
        <w:tc>
          <w:tcPr>
            <w:tcW w:w="6440" w:type="dxa"/>
            <w:tcBorders>
              <w:top w:val="nil"/>
              <w:left w:val="nil"/>
              <w:bottom w:val="single" w:sz="8" w:space="0" w:color="000000"/>
              <w:right w:val="single" w:sz="8" w:space="0" w:color="000000"/>
            </w:tcBorders>
            <w:vAlign w:val="center"/>
            <w:hideMark/>
          </w:tcPr>
          <w:p w14:paraId="1EF7ECF0" w14:textId="77777777" w:rsidR="004F7D70" w:rsidRPr="0000434E" w:rsidRDefault="004F7D70" w:rsidP="00F750B8">
            <w:pPr>
              <w:spacing w:after="0" w:line="240" w:lineRule="auto"/>
              <w:jc w:val="both"/>
              <w:rPr>
                <w:rFonts w:ascii="Arial" w:eastAsia="Times New Roman" w:hAnsi="Arial" w:cs="Arial"/>
                <w:color w:val="1F1F1F"/>
                <w:kern w:val="0"/>
                <w:sz w:val="22"/>
                <w:szCs w:val="22"/>
                <w:lang w:eastAsia="pt-BR"/>
                <w14:ligatures w14:val="none"/>
              </w:rPr>
            </w:pPr>
            <w:r w:rsidRPr="0000434E">
              <w:rPr>
                <w:rFonts w:ascii="Arial" w:eastAsia="Times New Roman" w:hAnsi="Arial" w:cs="Arial"/>
                <w:color w:val="1F1F1F"/>
                <w:kern w:val="0"/>
                <w:sz w:val="22"/>
                <w:szCs w:val="22"/>
                <w:lang w:eastAsia="pt-BR"/>
                <w14:ligatures w14:val="none"/>
              </w:rPr>
              <w:t>Em 25% dos meses, a inflação supera 1,17%, o que é um valor alto para variação mensal.</w:t>
            </w:r>
          </w:p>
        </w:tc>
      </w:tr>
    </w:tbl>
    <w:p w14:paraId="3047A176" w14:textId="77777777" w:rsidR="004F7D70" w:rsidRPr="0000434E" w:rsidRDefault="004F7D70" w:rsidP="007C461C">
      <w:pPr>
        <w:jc w:val="both"/>
        <w:rPr>
          <w:rFonts w:eastAsiaTheme="minorEastAsia"/>
        </w:rPr>
      </w:pPr>
    </w:p>
    <w:p w14:paraId="7314B643" w14:textId="349B9469" w:rsidR="00F750B8" w:rsidRPr="0000434E" w:rsidRDefault="00F750B8" w:rsidP="007C461C">
      <w:pPr>
        <w:jc w:val="both"/>
        <w:rPr>
          <w:rFonts w:eastAsiaTheme="minorEastAsia"/>
        </w:rPr>
      </w:pPr>
      <w:r w:rsidRPr="0000434E">
        <w:rPr>
          <w:rFonts w:eastAsiaTheme="minorEastAsia"/>
        </w:rPr>
        <w:t>Interpretação da Assimetria: A assimetria positiva (média &gt; mediana) e a cauda longa à direita são características críticas. Isso significa que os choques de alta (picos inflacionários) são muito mais violentos e frequentes do que os choques de baixa (deflação). Para o varejista e para a ONG, isso confirma que o risco é assimétrico: o preço sobe rápido e desce devagar, exigindo modelos que penalizem erros de subestimação de picos.</w:t>
      </w:r>
    </w:p>
    <w:p w14:paraId="2867AB9A" w14:textId="77777777" w:rsidR="00F750B8" w:rsidRPr="006D6C91" w:rsidRDefault="00F750B8" w:rsidP="00F750B8">
      <w:pPr>
        <w:jc w:val="both"/>
        <w:rPr>
          <w:rFonts w:eastAsiaTheme="minorEastAsia"/>
          <w:b/>
          <w:bCs/>
        </w:rPr>
      </w:pPr>
      <w:r w:rsidRPr="006D6C91">
        <w:rPr>
          <w:rFonts w:eastAsiaTheme="minorEastAsia"/>
          <w:b/>
          <w:bCs/>
        </w:rPr>
        <w:t>Sazonalidade e Autocorrelação</w:t>
      </w:r>
    </w:p>
    <w:p w14:paraId="30F36CD0" w14:textId="58D7C570" w:rsidR="00F750B8" w:rsidRPr="0000434E" w:rsidRDefault="00F750B8" w:rsidP="00753A83">
      <w:pPr>
        <w:rPr>
          <w:rFonts w:eastAsiaTheme="minorEastAsia"/>
        </w:rPr>
      </w:pPr>
      <w:r w:rsidRPr="0000434E">
        <w:rPr>
          <w:rFonts w:eastAsiaTheme="minorEastAsia"/>
        </w:rPr>
        <w:t>A aplicação de funções de autocorrelação e autocorrelação parcial na fase de exploração indica uma sazonalidade anual marcante.</w:t>
      </w:r>
    </w:p>
    <w:p w14:paraId="05A230FF" w14:textId="77777777" w:rsidR="00F750B8" w:rsidRPr="0000434E" w:rsidRDefault="00F750B8" w:rsidP="00F750B8">
      <w:pPr>
        <w:jc w:val="both"/>
        <w:rPr>
          <w:rFonts w:eastAsiaTheme="minorEastAsia"/>
        </w:rPr>
      </w:pPr>
      <w:r w:rsidRPr="00D23945">
        <w:rPr>
          <w:rFonts w:eastAsiaTheme="minorEastAsia"/>
          <w:b/>
          <w:bCs/>
        </w:rPr>
        <w:t>Início do Ano (Jan/</w:t>
      </w:r>
      <w:proofErr w:type="spellStart"/>
      <w:r w:rsidRPr="00D23945">
        <w:rPr>
          <w:rFonts w:eastAsiaTheme="minorEastAsia"/>
          <w:b/>
          <w:bCs/>
        </w:rPr>
        <w:t>Fev</w:t>
      </w:r>
      <w:proofErr w:type="spellEnd"/>
      <w:r w:rsidRPr="00D23945">
        <w:rPr>
          <w:rFonts w:eastAsiaTheme="minorEastAsia"/>
          <w:b/>
          <w:bCs/>
        </w:rPr>
        <w:t>):</w:t>
      </w:r>
      <w:r w:rsidRPr="0000434E">
        <w:rPr>
          <w:rFonts w:eastAsiaTheme="minorEastAsia"/>
        </w:rPr>
        <w:t> Pressão inflacionária típica devido a fatores climáticos (chuvas de verão afetando hortifrúti) e custos escolares impactando o orçamento familiar indiretamente.</w:t>
      </w:r>
    </w:p>
    <w:p w14:paraId="2237FF34" w14:textId="77777777" w:rsidR="004A43E5" w:rsidRPr="0000434E" w:rsidRDefault="00F750B8" w:rsidP="00F750B8">
      <w:pPr>
        <w:jc w:val="both"/>
        <w:rPr>
          <w:rFonts w:eastAsiaTheme="minorEastAsia"/>
        </w:rPr>
      </w:pPr>
      <w:r w:rsidRPr="00D23945">
        <w:rPr>
          <w:rFonts w:eastAsiaTheme="minorEastAsia"/>
          <w:b/>
          <w:bCs/>
        </w:rPr>
        <w:t>Meio do Ano:</w:t>
      </w:r>
      <w:r w:rsidRPr="0000434E">
        <w:rPr>
          <w:rFonts w:eastAsiaTheme="minorEastAsia"/>
        </w:rPr>
        <w:t> Tendência de arrefecimento ou deflação, ligada a safras de inverno. Essa estrutura cíclica reforça a necessidade de uma janela de observação de no mínimo, 12 meses para o modelo LSTM. Se usássemos apenas os últimos 3 meses, o modelo seria incapaz de diferenciar um aumento sazonal esperado de um choque real.</w:t>
      </w:r>
    </w:p>
    <w:p w14:paraId="1F670D8F" w14:textId="77777777" w:rsidR="004A43E5" w:rsidRPr="00E91F28" w:rsidRDefault="004A43E5" w:rsidP="00F750B8">
      <w:pPr>
        <w:jc w:val="both"/>
        <w:rPr>
          <w:rFonts w:eastAsiaTheme="minorEastAsia"/>
          <w:b/>
          <w:bCs/>
        </w:rPr>
      </w:pPr>
      <w:r w:rsidRPr="00E91F28">
        <w:rPr>
          <w:rFonts w:eastAsiaTheme="minorEastAsia"/>
          <w:b/>
          <w:bCs/>
        </w:rPr>
        <w:lastRenderedPageBreak/>
        <w:t>Tendência Linear do IPC-Fipe</w:t>
      </w:r>
    </w:p>
    <w:p w14:paraId="05F03341" w14:textId="2D1981F6" w:rsidR="004A43E5" w:rsidRPr="0000434E" w:rsidRDefault="004A43E5" w:rsidP="004A43E5">
      <w:pPr>
        <w:jc w:val="both"/>
        <w:rPr>
          <w:rFonts w:eastAsiaTheme="minorEastAsia"/>
        </w:rPr>
      </w:pPr>
      <w:r w:rsidRPr="0000434E">
        <w:rPr>
          <w:rFonts w:eastAsiaTheme="minorEastAsia"/>
        </w:rPr>
        <w:t>O gráfico apresenta a série temporal do Índice de Preços ao Consumidor (IPC-Fipe) categoria Alimentação, exibindo a variação percentual mensal ao longo do período de 1996 a 2025.</w:t>
      </w:r>
    </w:p>
    <w:p w14:paraId="57D11B19" w14:textId="77777777" w:rsidR="004A43E5" w:rsidRPr="0000434E" w:rsidRDefault="004A43E5" w:rsidP="004A43E5">
      <w:pPr>
        <w:jc w:val="both"/>
        <w:rPr>
          <w:rFonts w:eastAsiaTheme="minorEastAsia"/>
        </w:rPr>
      </w:pPr>
    </w:p>
    <w:p w14:paraId="0EF050AB" w14:textId="10664AAB" w:rsidR="004A43E5" w:rsidRPr="0000434E" w:rsidRDefault="004A43E5" w:rsidP="004A43E5">
      <w:pPr>
        <w:jc w:val="both"/>
        <w:rPr>
          <w:rFonts w:eastAsiaTheme="minorEastAsia"/>
        </w:rPr>
      </w:pPr>
      <w:r w:rsidRPr="0000434E">
        <w:rPr>
          <w:rFonts w:eastAsiaTheme="minorEastAsia"/>
          <w:noProof/>
        </w:rPr>
        <w:drawing>
          <wp:inline distT="0" distB="0" distL="0" distR="0" wp14:anchorId="3F4B4AF1" wp14:editId="16A844DF">
            <wp:extent cx="5400040" cy="3625850"/>
            <wp:effectExtent l="0" t="0" r="0" b="0"/>
            <wp:docPr id="321964221"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4221" name="Imagem 1" descr="Gráfico, Gráfico de linhas&#10;&#10;O conteúdo gerado por IA pode estar incorreto."/>
                    <pic:cNvPicPr/>
                  </pic:nvPicPr>
                  <pic:blipFill>
                    <a:blip r:embed="rId7"/>
                    <a:stretch>
                      <a:fillRect/>
                    </a:stretch>
                  </pic:blipFill>
                  <pic:spPr>
                    <a:xfrm>
                      <a:off x="0" y="0"/>
                      <a:ext cx="5400040" cy="3625850"/>
                    </a:xfrm>
                    <a:prstGeom prst="rect">
                      <a:avLst/>
                    </a:prstGeom>
                  </pic:spPr>
                </pic:pic>
              </a:graphicData>
            </a:graphic>
          </wp:inline>
        </w:drawing>
      </w:r>
    </w:p>
    <w:p w14:paraId="642EA900" w14:textId="77777777" w:rsidR="004A43E5" w:rsidRPr="0000434E" w:rsidRDefault="004A43E5" w:rsidP="004A43E5">
      <w:pPr>
        <w:jc w:val="both"/>
        <w:rPr>
          <w:rFonts w:eastAsiaTheme="minorEastAsia"/>
        </w:rPr>
      </w:pPr>
    </w:p>
    <w:p w14:paraId="6AEAEE0C" w14:textId="77777777" w:rsidR="004A43E5" w:rsidRPr="0000434E" w:rsidRDefault="004A43E5" w:rsidP="004A43E5">
      <w:pPr>
        <w:jc w:val="both"/>
        <w:rPr>
          <w:rFonts w:eastAsiaTheme="minorEastAsia"/>
        </w:rPr>
      </w:pPr>
      <w:r w:rsidRPr="0000434E">
        <w:rPr>
          <w:rFonts w:eastAsiaTheme="minorEastAsia"/>
        </w:rPr>
        <w:t>A linha vermelha representa as oscilações mensais do índice, evidenciando alta volatilidade, característica comum em itens alimentícios. É possível observar:</w:t>
      </w:r>
    </w:p>
    <w:p w14:paraId="270D2C4E" w14:textId="7A2DF046" w:rsidR="004A43E5" w:rsidRPr="0000434E" w:rsidRDefault="004A43E5" w:rsidP="004A43E5">
      <w:pPr>
        <w:pStyle w:val="PargrafodaLista"/>
        <w:numPr>
          <w:ilvl w:val="0"/>
          <w:numId w:val="33"/>
        </w:numPr>
        <w:jc w:val="both"/>
        <w:rPr>
          <w:rFonts w:eastAsiaTheme="minorEastAsia"/>
        </w:rPr>
      </w:pPr>
      <w:r w:rsidRPr="0000434E">
        <w:rPr>
          <w:rFonts w:eastAsiaTheme="minorEastAsia"/>
        </w:rPr>
        <w:t>Picos positivos significativos, indicando meses com forte aumento no custo dos alimentos.</w:t>
      </w:r>
    </w:p>
    <w:p w14:paraId="3F69625C" w14:textId="4EDC72D3" w:rsidR="004A43E5" w:rsidRPr="0000434E" w:rsidRDefault="004A43E5" w:rsidP="004A43E5">
      <w:pPr>
        <w:pStyle w:val="PargrafodaLista"/>
        <w:numPr>
          <w:ilvl w:val="0"/>
          <w:numId w:val="33"/>
        </w:numPr>
        <w:jc w:val="both"/>
        <w:rPr>
          <w:rFonts w:eastAsiaTheme="minorEastAsia"/>
        </w:rPr>
      </w:pPr>
      <w:r w:rsidRPr="0000434E">
        <w:rPr>
          <w:rFonts w:eastAsiaTheme="minorEastAsia"/>
        </w:rPr>
        <w:t>Quedas acentuadas, onde a inflação da categoria ficou negativa (deflação).</w:t>
      </w:r>
    </w:p>
    <w:p w14:paraId="48EF3BD6" w14:textId="6EE7D4D2" w:rsidR="004A43E5" w:rsidRPr="0000434E" w:rsidRDefault="004A43E5" w:rsidP="004A43E5">
      <w:pPr>
        <w:pStyle w:val="PargrafodaLista"/>
        <w:numPr>
          <w:ilvl w:val="0"/>
          <w:numId w:val="33"/>
        </w:numPr>
        <w:jc w:val="both"/>
        <w:rPr>
          <w:rFonts w:eastAsiaTheme="minorEastAsia"/>
        </w:rPr>
      </w:pPr>
      <w:r w:rsidRPr="0000434E">
        <w:rPr>
          <w:rFonts w:eastAsiaTheme="minorEastAsia"/>
        </w:rPr>
        <w:t>Ausência de tendência clara de longo prazo, reforçada pela linha de tendência linear praticamente horizontal, indicando estabilidade do nível médio das variações ao longo dos anos.</w:t>
      </w:r>
    </w:p>
    <w:p w14:paraId="1CD76779" w14:textId="5772EC80" w:rsidR="004A43E5" w:rsidRPr="0000434E" w:rsidRDefault="004A43E5" w:rsidP="004A43E5">
      <w:pPr>
        <w:pStyle w:val="PargrafodaLista"/>
        <w:numPr>
          <w:ilvl w:val="0"/>
          <w:numId w:val="33"/>
        </w:numPr>
        <w:jc w:val="both"/>
        <w:rPr>
          <w:rFonts w:eastAsiaTheme="minorEastAsia"/>
        </w:rPr>
      </w:pPr>
      <w:r w:rsidRPr="0000434E">
        <w:rPr>
          <w:rFonts w:eastAsiaTheme="minorEastAsia"/>
        </w:rPr>
        <w:t>Flutuações mais frequentes e intensas em alguns períodos, refletindo choques de oferta, sazonalidade e impactos econômicos específicos.</w:t>
      </w:r>
    </w:p>
    <w:p w14:paraId="39272B22" w14:textId="77777777" w:rsidR="004A43E5" w:rsidRPr="0000434E" w:rsidRDefault="004A43E5" w:rsidP="004A43E5">
      <w:pPr>
        <w:jc w:val="both"/>
        <w:rPr>
          <w:rFonts w:eastAsiaTheme="minorEastAsia"/>
        </w:rPr>
      </w:pPr>
    </w:p>
    <w:p w14:paraId="48D64D35" w14:textId="3AA575D8" w:rsidR="00E43ACA" w:rsidRPr="0000434E" w:rsidRDefault="00E43ACA" w:rsidP="00E43ACA">
      <w:pPr>
        <w:jc w:val="both"/>
        <w:rPr>
          <w:rFonts w:eastAsiaTheme="minorEastAsia"/>
        </w:rPr>
      </w:pPr>
    </w:p>
    <w:sectPr w:rsidR="00E43ACA" w:rsidRPr="000043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53B"/>
    <w:multiLevelType w:val="multilevel"/>
    <w:tmpl w:val="A13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4FE4"/>
    <w:multiLevelType w:val="multilevel"/>
    <w:tmpl w:val="2CF6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B5232"/>
    <w:multiLevelType w:val="multilevel"/>
    <w:tmpl w:val="07E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94E"/>
    <w:multiLevelType w:val="multilevel"/>
    <w:tmpl w:val="A92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22A70"/>
    <w:multiLevelType w:val="multilevel"/>
    <w:tmpl w:val="6AE2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04BED"/>
    <w:multiLevelType w:val="multilevel"/>
    <w:tmpl w:val="0B4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E82469"/>
    <w:multiLevelType w:val="multilevel"/>
    <w:tmpl w:val="26A2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37DC8"/>
    <w:multiLevelType w:val="hybridMultilevel"/>
    <w:tmpl w:val="88B85FDA"/>
    <w:lvl w:ilvl="0" w:tplc="0416000F">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564046A"/>
    <w:multiLevelType w:val="multilevel"/>
    <w:tmpl w:val="113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74729"/>
    <w:multiLevelType w:val="multilevel"/>
    <w:tmpl w:val="79C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75424"/>
    <w:multiLevelType w:val="hybridMultilevel"/>
    <w:tmpl w:val="49C2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20B6A65"/>
    <w:multiLevelType w:val="hybridMultilevel"/>
    <w:tmpl w:val="173EE6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8813D2E"/>
    <w:multiLevelType w:val="multilevel"/>
    <w:tmpl w:val="84B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915C6"/>
    <w:multiLevelType w:val="multilevel"/>
    <w:tmpl w:val="250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B3518"/>
    <w:multiLevelType w:val="multilevel"/>
    <w:tmpl w:val="293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853C0"/>
    <w:multiLevelType w:val="multilevel"/>
    <w:tmpl w:val="7EA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953D9"/>
    <w:multiLevelType w:val="multilevel"/>
    <w:tmpl w:val="02A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242BE"/>
    <w:multiLevelType w:val="multilevel"/>
    <w:tmpl w:val="7AF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709C0"/>
    <w:multiLevelType w:val="multilevel"/>
    <w:tmpl w:val="627C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83BB3"/>
    <w:multiLevelType w:val="multilevel"/>
    <w:tmpl w:val="F00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A396F"/>
    <w:multiLevelType w:val="multilevel"/>
    <w:tmpl w:val="509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E1460"/>
    <w:multiLevelType w:val="multilevel"/>
    <w:tmpl w:val="9E8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265374"/>
    <w:multiLevelType w:val="multilevel"/>
    <w:tmpl w:val="935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60D16"/>
    <w:multiLevelType w:val="multilevel"/>
    <w:tmpl w:val="92F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D357B"/>
    <w:multiLevelType w:val="multilevel"/>
    <w:tmpl w:val="DCF6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4C02CC"/>
    <w:multiLevelType w:val="multilevel"/>
    <w:tmpl w:val="DF3E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96F89"/>
    <w:multiLevelType w:val="multilevel"/>
    <w:tmpl w:val="79B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52BE6"/>
    <w:multiLevelType w:val="multilevel"/>
    <w:tmpl w:val="BDCA9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A3086"/>
    <w:multiLevelType w:val="hybridMultilevel"/>
    <w:tmpl w:val="50A68130"/>
    <w:lvl w:ilvl="0" w:tplc="0416000F">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A637752"/>
    <w:multiLevelType w:val="multilevel"/>
    <w:tmpl w:val="C39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A23D7A"/>
    <w:multiLevelType w:val="multilevel"/>
    <w:tmpl w:val="493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97935"/>
    <w:multiLevelType w:val="multilevel"/>
    <w:tmpl w:val="5F6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B463B"/>
    <w:multiLevelType w:val="multilevel"/>
    <w:tmpl w:val="F08C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031901">
    <w:abstractNumId w:val="24"/>
  </w:num>
  <w:num w:numId="2" w16cid:durableId="2108504791">
    <w:abstractNumId w:val="11"/>
  </w:num>
  <w:num w:numId="3" w16cid:durableId="12809140">
    <w:abstractNumId w:val="6"/>
  </w:num>
  <w:num w:numId="4" w16cid:durableId="421952643">
    <w:abstractNumId w:val="23"/>
  </w:num>
  <w:num w:numId="5" w16cid:durableId="883178114">
    <w:abstractNumId w:val="26"/>
  </w:num>
  <w:num w:numId="6" w16cid:durableId="901452985">
    <w:abstractNumId w:val="16"/>
  </w:num>
  <w:num w:numId="7" w16cid:durableId="1463109484">
    <w:abstractNumId w:val="7"/>
  </w:num>
  <w:num w:numId="8" w16cid:durableId="8409204">
    <w:abstractNumId w:val="28"/>
  </w:num>
  <w:num w:numId="9" w16cid:durableId="610433677">
    <w:abstractNumId w:val="17"/>
  </w:num>
  <w:num w:numId="10" w16cid:durableId="1514684755">
    <w:abstractNumId w:val="19"/>
  </w:num>
  <w:num w:numId="11" w16cid:durableId="21442078">
    <w:abstractNumId w:val="15"/>
  </w:num>
  <w:num w:numId="12" w16cid:durableId="1008291985">
    <w:abstractNumId w:val="31"/>
  </w:num>
  <w:num w:numId="13" w16cid:durableId="667826321">
    <w:abstractNumId w:val="0"/>
  </w:num>
  <w:num w:numId="14" w16cid:durableId="1190796325">
    <w:abstractNumId w:val="13"/>
  </w:num>
  <w:num w:numId="15" w16cid:durableId="2001031574">
    <w:abstractNumId w:val="2"/>
  </w:num>
  <w:num w:numId="16" w16cid:durableId="272174401">
    <w:abstractNumId w:val="8"/>
  </w:num>
  <w:num w:numId="17" w16cid:durableId="787316524">
    <w:abstractNumId w:val="25"/>
  </w:num>
  <w:num w:numId="18" w16cid:durableId="229661105">
    <w:abstractNumId w:val="3"/>
  </w:num>
  <w:num w:numId="19" w16cid:durableId="424496904">
    <w:abstractNumId w:val="14"/>
  </w:num>
  <w:num w:numId="20" w16cid:durableId="1507985621">
    <w:abstractNumId w:val="9"/>
  </w:num>
  <w:num w:numId="21" w16cid:durableId="979699428">
    <w:abstractNumId w:val="4"/>
  </w:num>
  <w:num w:numId="22" w16cid:durableId="1989941215">
    <w:abstractNumId w:val="30"/>
  </w:num>
  <w:num w:numId="23" w16cid:durableId="1116094326">
    <w:abstractNumId w:val="27"/>
  </w:num>
  <w:num w:numId="24" w16cid:durableId="1800413144">
    <w:abstractNumId w:val="22"/>
  </w:num>
  <w:num w:numId="25" w16cid:durableId="1615474858">
    <w:abstractNumId w:val="1"/>
  </w:num>
  <w:num w:numId="26" w16cid:durableId="390808920">
    <w:abstractNumId w:val="18"/>
  </w:num>
  <w:num w:numId="27" w16cid:durableId="1604876444">
    <w:abstractNumId w:val="5"/>
  </w:num>
  <w:num w:numId="28" w16cid:durableId="619145686">
    <w:abstractNumId w:val="21"/>
  </w:num>
  <w:num w:numId="29" w16cid:durableId="672075537">
    <w:abstractNumId w:val="29"/>
  </w:num>
  <w:num w:numId="30" w16cid:durableId="276644647">
    <w:abstractNumId w:val="20"/>
  </w:num>
  <w:num w:numId="31" w16cid:durableId="518206673">
    <w:abstractNumId w:val="32"/>
  </w:num>
  <w:num w:numId="32" w16cid:durableId="1148011379">
    <w:abstractNumId w:val="12"/>
  </w:num>
  <w:num w:numId="33" w16cid:durableId="1268342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64"/>
    <w:rsid w:val="0000434E"/>
    <w:rsid w:val="00073082"/>
    <w:rsid w:val="000B070F"/>
    <w:rsid w:val="001E4C64"/>
    <w:rsid w:val="00234723"/>
    <w:rsid w:val="00260E8B"/>
    <w:rsid w:val="00272A4E"/>
    <w:rsid w:val="00381BDF"/>
    <w:rsid w:val="003E0AD7"/>
    <w:rsid w:val="004008F5"/>
    <w:rsid w:val="004A43E5"/>
    <w:rsid w:val="004D412A"/>
    <w:rsid w:val="004E01D8"/>
    <w:rsid w:val="004F7D70"/>
    <w:rsid w:val="0053502D"/>
    <w:rsid w:val="005C67A5"/>
    <w:rsid w:val="005D6273"/>
    <w:rsid w:val="0065422F"/>
    <w:rsid w:val="006D6C91"/>
    <w:rsid w:val="006F3333"/>
    <w:rsid w:val="007264A8"/>
    <w:rsid w:val="00753A83"/>
    <w:rsid w:val="00777A89"/>
    <w:rsid w:val="007C461C"/>
    <w:rsid w:val="00820F2E"/>
    <w:rsid w:val="008B5D1A"/>
    <w:rsid w:val="009672CF"/>
    <w:rsid w:val="00A07572"/>
    <w:rsid w:val="00A4703F"/>
    <w:rsid w:val="00A55222"/>
    <w:rsid w:val="00C55D24"/>
    <w:rsid w:val="00C61200"/>
    <w:rsid w:val="00CB62A7"/>
    <w:rsid w:val="00D23945"/>
    <w:rsid w:val="00D77E3B"/>
    <w:rsid w:val="00DE31FB"/>
    <w:rsid w:val="00E02CDF"/>
    <w:rsid w:val="00E43ACA"/>
    <w:rsid w:val="00E86228"/>
    <w:rsid w:val="00E91F28"/>
    <w:rsid w:val="00E95568"/>
    <w:rsid w:val="00F5120B"/>
    <w:rsid w:val="00F750B8"/>
    <w:rsid w:val="00FF31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6183"/>
  <w15:chartTrackingRefBased/>
  <w15:docId w15:val="{E6065FD5-64BB-4F1B-BEEE-1E10392E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E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E4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E4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E4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E4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4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4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4C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4C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E4C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E4C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E4C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E4C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4C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4C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4C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4C64"/>
    <w:rPr>
      <w:rFonts w:eastAsiaTheme="majorEastAsia" w:cstheme="majorBidi"/>
      <w:color w:val="272727" w:themeColor="text1" w:themeTint="D8"/>
    </w:rPr>
  </w:style>
  <w:style w:type="paragraph" w:styleId="Ttulo">
    <w:name w:val="Title"/>
    <w:basedOn w:val="Normal"/>
    <w:next w:val="Normal"/>
    <w:link w:val="TtuloChar"/>
    <w:uiPriority w:val="10"/>
    <w:qFormat/>
    <w:rsid w:val="001E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4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4C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4C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4C64"/>
    <w:pPr>
      <w:spacing w:before="160"/>
      <w:jc w:val="center"/>
    </w:pPr>
    <w:rPr>
      <w:i/>
      <w:iCs/>
      <w:color w:val="404040" w:themeColor="text1" w:themeTint="BF"/>
    </w:rPr>
  </w:style>
  <w:style w:type="character" w:customStyle="1" w:styleId="CitaoChar">
    <w:name w:val="Citação Char"/>
    <w:basedOn w:val="Fontepargpadro"/>
    <w:link w:val="Citao"/>
    <w:uiPriority w:val="29"/>
    <w:rsid w:val="001E4C64"/>
    <w:rPr>
      <w:i/>
      <w:iCs/>
      <w:color w:val="404040" w:themeColor="text1" w:themeTint="BF"/>
    </w:rPr>
  </w:style>
  <w:style w:type="paragraph" w:styleId="PargrafodaLista">
    <w:name w:val="List Paragraph"/>
    <w:basedOn w:val="Normal"/>
    <w:uiPriority w:val="34"/>
    <w:qFormat/>
    <w:rsid w:val="001E4C64"/>
    <w:pPr>
      <w:ind w:left="720"/>
      <w:contextualSpacing/>
    </w:pPr>
  </w:style>
  <w:style w:type="character" w:styleId="nfaseIntensa">
    <w:name w:val="Intense Emphasis"/>
    <w:basedOn w:val="Fontepargpadro"/>
    <w:uiPriority w:val="21"/>
    <w:qFormat/>
    <w:rsid w:val="001E4C64"/>
    <w:rPr>
      <w:i/>
      <w:iCs/>
      <w:color w:val="0F4761" w:themeColor="accent1" w:themeShade="BF"/>
    </w:rPr>
  </w:style>
  <w:style w:type="paragraph" w:styleId="CitaoIntensa">
    <w:name w:val="Intense Quote"/>
    <w:basedOn w:val="Normal"/>
    <w:next w:val="Normal"/>
    <w:link w:val="CitaoIntensaChar"/>
    <w:uiPriority w:val="30"/>
    <w:qFormat/>
    <w:rsid w:val="001E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4C64"/>
    <w:rPr>
      <w:i/>
      <w:iCs/>
      <w:color w:val="0F4761" w:themeColor="accent1" w:themeShade="BF"/>
    </w:rPr>
  </w:style>
  <w:style w:type="character" w:styleId="RefernciaIntensa">
    <w:name w:val="Intense Reference"/>
    <w:basedOn w:val="Fontepargpadro"/>
    <w:uiPriority w:val="32"/>
    <w:qFormat/>
    <w:rsid w:val="001E4C64"/>
    <w:rPr>
      <w:b/>
      <w:bCs/>
      <w:smallCaps/>
      <w:color w:val="0F4761" w:themeColor="accent1" w:themeShade="BF"/>
      <w:spacing w:val="5"/>
    </w:rPr>
  </w:style>
  <w:style w:type="character" w:styleId="Hyperlink">
    <w:name w:val="Hyperlink"/>
    <w:basedOn w:val="Fontepargpadro"/>
    <w:uiPriority w:val="99"/>
    <w:unhideWhenUsed/>
    <w:rsid w:val="00A07572"/>
    <w:rPr>
      <w:color w:val="467886" w:themeColor="hyperlink"/>
      <w:u w:val="single"/>
    </w:rPr>
  </w:style>
  <w:style w:type="character" w:styleId="MenoPendente">
    <w:name w:val="Unresolved Mention"/>
    <w:basedOn w:val="Fontepargpadro"/>
    <w:uiPriority w:val="99"/>
    <w:semiHidden/>
    <w:unhideWhenUsed/>
    <w:rsid w:val="00A07572"/>
    <w:rPr>
      <w:color w:val="605E5C"/>
      <w:shd w:val="clear" w:color="auto" w:fill="E1DFDD"/>
    </w:rPr>
  </w:style>
  <w:style w:type="paragraph" w:styleId="CabealhodoSumrio">
    <w:name w:val="TOC Heading"/>
    <w:basedOn w:val="Ttulo1"/>
    <w:next w:val="Normal"/>
    <w:uiPriority w:val="39"/>
    <w:unhideWhenUsed/>
    <w:qFormat/>
    <w:rsid w:val="0000434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0434E"/>
    <w:pPr>
      <w:spacing w:after="100"/>
    </w:pPr>
  </w:style>
  <w:style w:type="paragraph" w:styleId="Sumrio2">
    <w:name w:val="toc 2"/>
    <w:basedOn w:val="Normal"/>
    <w:next w:val="Normal"/>
    <w:autoRedefine/>
    <w:uiPriority w:val="39"/>
    <w:unhideWhenUsed/>
    <w:rsid w:val="0000434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782">
      <w:bodyDiv w:val="1"/>
      <w:marLeft w:val="0"/>
      <w:marRight w:val="0"/>
      <w:marTop w:val="0"/>
      <w:marBottom w:val="0"/>
      <w:divBdr>
        <w:top w:val="none" w:sz="0" w:space="0" w:color="auto"/>
        <w:left w:val="none" w:sz="0" w:space="0" w:color="auto"/>
        <w:bottom w:val="none" w:sz="0" w:space="0" w:color="auto"/>
        <w:right w:val="none" w:sz="0" w:space="0" w:color="auto"/>
      </w:divBdr>
    </w:div>
    <w:div w:id="35935137">
      <w:bodyDiv w:val="1"/>
      <w:marLeft w:val="0"/>
      <w:marRight w:val="0"/>
      <w:marTop w:val="0"/>
      <w:marBottom w:val="0"/>
      <w:divBdr>
        <w:top w:val="none" w:sz="0" w:space="0" w:color="auto"/>
        <w:left w:val="none" w:sz="0" w:space="0" w:color="auto"/>
        <w:bottom w:val="none" w:sz="0" w:space="0" w:color="auto"/>
        <w:right w:val="none" w:sz="0" w:space="0" w:color="auto"/>
      </w:divBdr>
    </w:div>
    <w:div w:id="39987774">
      <w:bodyDiv w:val="1"/>
      <w:marLeft w:val="0"/>
      <w:marRight w:val="0"/>
      <w:marTop w:val="0"/>
      <w:marBottom w:val="0"/>
      <w:divBdr>
        <w:top w:val="none" w:sz="0" w:space="0" w:color="auto"/>
        <w:left w:val="none" w:sz="0" w:space="0" w:color="auto"/>
        <w:bottom w:val="none" w:sz="0" w:space="0" w:color="auto"/>
        <w:right w:val="none" w:sz="0" w:space="0" w:color="auto"/>
      </w:divBdr>
    </w:div>
    <w:div w:id="187765362">
      <w:bodyDiv w:val="1"/>
      <w:marLeft w:val="0"/>
      <w:marRight w:val="0"/>
      <w:marTop w:val="0"/>
      <w:marBottom w:val="0"/>
      <w:divBdr>
        <w:top w:val="none" w:sz="0" w:space="0" w:color="auto"/>
        <w:left w:val="none" w:sz="0" w:space="0" w:color="auto"/>
        <w:bottom w:val="none" w:sz="0" w:space="0" w:color="auto"/>
        <w:right w:val="none" w:sz="0" w:space="0" w:color="auto"/>
      </w:divBdr>
    </w:div>
    <w:div w:id="203490768">
      <w:bodyDiv w:val="1"/>
      <w:marLeft w:val="0"/>
      <w:marRight w:val="0"/>
      <w:marTop w:val="0"/>
      <w:marBottom w:val="0"/>
      <w:divBdr>
        <w:top w:val="none" w:sz="0" w:space="0" w:color="auto"/>
        <w:left w:val="none" w:sz="0" w:space="0" w:color="auto"/>
        <w:bottom w:val="none" w:sz="0" w:space="0" w:color="auto"/>
        <w:right w:val="none" w:sz="0" w:space="0" w:color="auto"/>
      </w:divBdr>
    </w:div>
    <w:div w:id="208958006">
      <w:bodyDiv w:val="1"/>
      <w:marLeft w:val="0"/>
      <w:marRight w:val="0"/>
      <w:marTop w:val="0"/>
      <w:marBottom w:val="0"/>
      <w:divBdr>
        <w:top w:val="none" w:sz="0" w:space="0" w:color="auto"/>
        <w:left w:val="none" w:sz="0" w:space="0" w:color="auto"/>
        <w:bottom w:val="none" w:sz="0" w:space="0" w:color="auto"/>
        <w:right w:val="none" w:sz="0" w:space="0" w:color="auto"/>
      </w:divBdr>
    </w:div>
    <w:div w:id="217787706">
      <w:bodyDiv w:val="1"/>
      <w:marLeft w:val="0"/>
      <w:marRight w:val="0"/>
      <w:marTop w:val="0"/>
      <w:marBottom w:val="0"/>
      <w:divBdr>
        <w:top w:val="none" w:sz="0" w:space="0" w:color="auto"/>
        <w:left w:val="none" w:sz="0" w:space="0" w:color="auto"/>
        <w:bottom w:val="none" w:sz="0" w:space="0" w:color="auto"/>
        <w:right w:val="none" w:sz="0" w:space="0" w:color="auto"/>
      </w:divBdr>
    </w:div>
    <w:div w:id="225843473">
      <w:bodyDiv w:val="1"/>
      <w:marLeft w:val="0"/>
      <w:marRight w:val="0"/>
      <w:marTop w:val="0"/>
      <w:marBottom w:val="0"/>
      <w:divBdr>
        <w:top w:val="none" w:sz="0" w:space="0" w:color="auto"/>
        <w:left w:val="none" w:sz="0" w:space="0" w:color="auto"/>
        <w:bottom w:val="none" w:sz="0" w:space="0" w:color="auto"/>
        <w:right w:val="none" w:sz="0" w:space="0" w:color="auto"/>
      </w:divBdr>
    </w:div>
    <w:div w:id="277182090">
      <w:bodyDiv w:val="1"/>
      <w:marLeft w:val="0"/>
      <w:marRight w:val="0"/>
      <w:marTop w:val="0"/>
      <w:marBottom w:val="0"/>
      <w:divBdr>
        <w:top w:val="none" w:sz="0" w:space="0" w:color="auto"/>
        <w:left w:val="none" w:sz="0" w:space="0" w:color="auto"/>
        <w:bottom w:val="none" w:sz="0" w:space="0" w:color="auto"/>
        <w:right w:val="none" w:sz="0" w:space="0" w:color="auto"/>
      </w:divBdr>
    </w:div>
    <w:div w:id="366611743">
      <w:bodyDiv w:val="1"/>
      <w:marLeft w:val="0"/>
      <w:marRight w:val="0"/>
      <w:marTop w:val="0"/>
      <w:marBottom w:val="0"/>
      <w:divBdr>
        <w:top w:val="none" w:sz="0" w:space="0" w:color="auto"/>
        <w:left w:val="none" w:sz="0" w:space="0" w:color="auto"/>
        <w:bottom w:val="none" w:sz="0" w:space="0" w:color="auto"/>
        <w:right w:val="none" w:sz="0" w:space="0" w:color="auto"/>
      </w:divBdr>
    </w:div>
    <w:div w:id="389117484">
      <w:bodyDiv w:val="1"/>
      <w:marLeft w:val="0"/>
      <w:marRight w:val="0"/>
      <w:marTop w:val="0"/>
      <w:marBottom w:val="0"/>
      <w:divBdr>
        <w:top w:val="none" w:sz="0" w:space="0" w:color="auto"/>
        <w:left w:val="none" w:sz="0" w:space="0" w:color="auto"/>
        <w:bottom w:val="none" w:sz="0" w:space="0" w:color="auto"/>
        <w:right w:val="none" w:sz="0" w:space="0" w:color="auto"/>
      </w:divBdr>
    </w:div>
    <w:div w:id="413551803">
      <w:bodyDiv w:val="1"/>
      <w:marLeft w:val="0"/>
      <w:marRight w:val="0"/>
      <w:marTop w:val="0"/>
      <w:marBottom w:val="0"/>
      <w:divBdr>
        <w:top w:val="none" w:sz="0" w:space="0" w:color="auto"/>
        <w:left w:val="none" w:sz="0" w:space="0" w:color="auto"/>
        <w:bottom w:val="none" w:sz="0" w:space="0" w:color="auto"/>
        <w:right w:val="none" w:sz="0" w:space="0" w:color="auto"/>
      </w:divBdr>
    </w:div>
    <w:div w:id="430126674">
      <w:bodyDiv w:val="1"/>
      <w:marLeft w:val="0"/>
      <w:marRight w:val="0"/>
      <w:marTop w:val="0"/>
      <w:marBottom w:val="0"/>
      <w:divBdr>
        <w:top w:val="none" w:sz="0" w:space="0" w:color="auto"/>
        <w:left w:val="none" w:sz="0" w:space="0" w:color="auto"/>
        <w:bottom w:val="none" w:sz="0" w:space="0" w:color="auto"/>
        <w:right w:val="none" w:sz="0" w:space="0" w:color="auto"/>
      </w:divBdr>
    </w:div>
    <w:div w:id="501820132">
      <w:bodyDiv w:val="1"/>
      <w:marLeft w:val="0"/>
      <w:marRight w:val="0"/>
      <w:marTop w:val="0"/>
      <w:marBottom w:val="0"/>
      <w:divBdr>
        <w:top w:val="none" w:sz="0" w:space="0" w:color="auto"/>
        <w:left w:val="none" w:sz="0" w:space="0" w:color="auto"/>
        <w:bottom w:val="none" w:sz="0" w:space="0" w:color="auto"/>
        <w:right w:val="none" w:sz="0" w:space="0" w:color="auto"/>
      </w:divBdr>
    </w:div>
    <w:div w:id="513157081">
      <w:bodyDiv w:val="1"/>
      <w:marLeft w:val="0"/>
      <w:marRight w:val="0"/>
      <w:marTop w:val="0"/>
      <w:marBottom w:val="0"/>
      <w:divBdr>
        <w:top w:val="none" w:sz="0" w:space="0" w:color="auto"/>
        <w:left w:val="none" w:sz="0" w:space="0" w:color="auto"/>
        <w:bottom w:val="none" w:sz="0" w:space="0" w:color="auto"/>
        <w:right w:val="none" w:sz="0" w:space="0" w:color="auto"/>
      </w:divBdr>
    </w:div>
    <w:div w:id="575743123">
      <w:bodyDiv w:val="1"/>
      <w:marLeft w:val="0"/>
      <w:marRight w:val="0"/>
      <w:marTop w:val="0"/>
      <w:marBottom w:val="0"/>
      <w:divBdr>
        <w:top w:val="none" w:sz="0" w:space="0" w:color="auto"/>
        <w:left w:val="none" w:sz="0" w:space="0" w:color="auto"/>
        <w:bottom w:val="none" w:sz="0" w:space="0" w:color="auto"/>
        <w:right w:val="none" w:sz="0" w:space="0" w:color="auto"/>
      </w:divBdr>
    </w:div>
    <w:div w:id="655230305">
      <w:bodyDiv w:val="1"/>
      <w:marLeft w:val="0"/>
      <w:marRight w:val="0"/>
      <w:marTop w:val="0"/>
      <w:marBottom w:val="0"/>
      <w:divBdr>
        <w:top w:val="none" w:sz="0" w:space="0" w:color="auto"/>
        <w:left w:val="none" w:sz="0" w:space="0" w:color="auto"/>
        <w:bottom w:val="none" w:sz="0" w:space="0" w:color="auto"/>
        <w:right w:val="none" w:sz="0" w:space="0" w:color="auto"/>
      </w:divBdr>
    </w:div>
    <w:div w:id="699087635">
      <w:bodyDiv w:val="1"/>
      <w:marLeft w:val="0"/>
      <w:marRight w:val="0"/>
      <w:marTop w:val="0"/>
      <w:marBottom w:val="0"/>
      <w:divBdr>
        <w:top w:val="none" w:sz="0" w:space="0" w:color="auto"/>
        <w:left w:val="none" w:sz="0" w:space="0" w:color="auto"/>
        <w:bottom w:val="none" w:sz="0" w:space="0" w:color="auto"/>
        <w:right w:val="none" w:sz="0" w:space="0" w:color="auto"/>
      </w:divBdr>
    </w:div>
    <w:div w:id="763115892">
      <w:bodyDiv w:val="1"/>
      <w:marLeft w:val="0"/>
      <w:marRight w:val="0"/>
      <w:marTop w:val="0"/>
      <w:marBottom w:val="0"/>
      <w:divBdr>
        <w:top w:val="none" w:sz="0" w:space="0" w:color="auto"/>
        <w:left w:val="none" w:sz="0" w:space="0" w:color="auto"/>
        <w:bottom w:val="none" w:sz="0" w:space="0" w:color="auto"/>
        <w:right w:val="none" w:sz="0" w:space="0" w:color="auto"/>
      </w:divBdr>
    </w:div>
    <w:div w:id="789081881">
      <w:bodyDiv w:val="1"/>
      <w:marLeft w:val="0"/>
      <w:marRight w:val="0"/>
      <w:marTop w:val="0"/>
      <w:marBottom w:val="0"/>
      <w:divBdr>
        <w:top w:val="none" w:sz="0" w:space="0" w:color="auto"/>
        <w:left w:val="none" w:sz="0" w:space="0" w:color="auto"/>
        <w:bottom w:val="none" w:sz="0" w:space="0" w:color="auto"/>
        <w:right w:val="none" w:sz="0" w:space="0" w:color="auto"/>
      </w:divBdr>
    </w:div>
    <w:div w:id="803278636">
      <w:bodyDiv w:val="1"/>
      <w:marLeft w:val="0"/>
      <w:marRight w:val="0"/>
      <w:marTop w:val="0"/>
      <w:marBottom w:val="0"/>
      <w:divBdr>
        <w:top w:val="none" w:sz="0" w:space="0" w:color="auto"/>
        <w:left w:val="none" w:sz="0" w:space="0" w:color="auto"/>
        <w:bottom w:val="none" w:sz="0" w:space="0" w:color="auto"/>
        <w:right w:val="none" w:sz="0" w:space="0" w:color="auto"/>
      </w:divBdr>
    </w:div>
    <w:div w:id="886796013">
      <w:bodyDiv w:val="1"/>
      <w:marLeft w:val="0"/>
      <w:marRight w:val="0"/>
      <w:marTop w:val="0"/>
      <w:marBottom w:val="0"/>
      <w:divBdr>
        <w:top w:val="none" w:sz="0" w:space="0" w:color="auto"/>
        <w:left w:val="none" w:sz="0" w:space="0" w:color="auto"/>
        <w:bottom w:val="none" w:sz="0" w:space="0" w:color="auto"/>
        <w:right w:val="none" w:sz="0" w:space="0" w:color="auto"/>
      </w:divBdr>
    </w:div>
    <w:div w:id="917137662">
      <w:bodyDiv w:val="1"/>
      <w:marLeft w:val="0"/>
      <w:marRight w:val="0"/>
      <w:marTop w:val="0"/>
      <w:marBottom w:val="0"/>
      <w:divBdr>
        <w:top w:val="none" w:sz="0" w:space="0" w:color="auto"/>
        <w:left w:val="none" w:sz="0" w:space="0" w:color="auto"/>
        <w:bottom w:val="none" w:sz="0" w:space="0" w:color="auto"/>
        <w:right w:val="none" w:sz="0" w:space="0" w:color="auto"/>
      </w:divBdr>
    </w:div>
    <w:div w:id="922908406">
      <w:bodyDiv w:val="1"/>
      <w:marLeft w:val="0"/>
      <w:marRight w:val="0"/>
      <w:marTop w:val="0"/>
      <w:marBottom w:val="0"/>
      <w:divBdr>
        <w:top w:val="none" w:sz="0" w:space="0" w:color="auto"/>
        <w:left w:val="none" w:sz="0" w:space="0" w:color="auto"/>
        <w:bottom w:val="none" w:sz="0" w:space="0" w:color="auto"/>
        <w:right w:val="none" w:sz="0" w:space="0" w:color="auto"/>
      </w:divBdr>
    </w:div>
    <w:div w:id="938299231">
      <w:bodyDiv w:val="1"/>
      <w:marLeft w:val="0"/>
      <w:marRight w:val="0"/>
      <w:marTop w:val="0"/>
      <w:marBottom w:val="0"/>
      <w:divBdr>
        <w:top w:val="none" w:sz="0" w:space="0" w:color="auto"/>
        <w:left w:val="none" w:sz="0" w:space="0" w:color="auto"/>
        <w:bottom w:val="none" w:sz="0" w:space="0" w:color="auto"/>
        <w:right w:val="none" w:sz="0" w:space="0" w:color="auto"/>
      </w:divBdr>
    </w:div>
    <w:div w:id="940843811">
      <w:bodyDiv w:val="1"/>
      <w:marLeft w:val="0"/>
      <w:marRight w:val="0"/>
      <w:marTop w:val="0"/>
      <w:marBottom w:val="0"/>
      <w:divBdr>
        <w:top w:val="none" w:sz="0" w:space="0" w:color="auto"/>
        <w:left w:val="none" w:sz="0" w:space="0" w:color="auto"/>
        <w:bottom w:val="none" w:sz="0" w:space="0" w:color="auto"/>
        <w:right w:val="none" w:sz="0" w:space="0" w:color="auto"/>
      </w:divBdr>
    </w:div>
    <w:div w:id="1074157242">
      <w:bodyDiv w:val="1"/>
      <w:marLeft w:val="0"/>
      <w:marRight w:val="0"/>
      <w:marTop w:val="0"/>
      <w:marBottom w:val="0"/>
      <w:divBdr>
        <w:top w:val="none" w:sz="0" w:space="0" w:color="auto"/>
        <w:left w:val="none" w:sz="0" w:space="0" w:color="auto"/>
        <w:bottom w:val="none" w:sz="0" w:space="0" w:color="auto"/>
        <w:right w:val="none" w:sz="0" w:space="0" w:color="auto"/>
      </w:divBdr>
    </w:div>
    <w:div w:id="1079710745">
      <w:bodyDiv w:val="1"/>
      <w:marLeft w:val="0"/>
      <w:marRight w:val="0"/>
      <w:marTop w:val="0"/>
      <w:marBottom w:val="0"/>
      <w:divBdr>
        <w:top w:val="none" w:sz="0" w:space="0" w:color="auto"/>
        <w:left w:val="none" w:sz="0" w:space="0" w:color="auto"/>
        <w:bottom w:val="none" w:sz="0" w:space="0" w:color="auto"/>
        <w:right w:val="none" w:sz="0" w:space="0" w:color="auto"/>
      </w:divBdr>
    </w:div>
    <w:div w:id="1090278862">
      <w:bodyDiv w:val="1"/>
      <w:marLeft w:val="0"/>
      <w:marRight w:val="0"/>
      <w:marTop w:val="0"/>
      <w:marBottom w:val="0"/>
      <w:divBdr>
        <w:top w:val="none" w:sz="0" w:space="0" w:color="auto"/>
        <w:left w:val="none" w:sz="0" w:space="0" w:color="auto"/>
        <w:bottom w:val="none" w:sz="0" w:space="0" w:color="auto"/>
        <w:right w:val="none" w:sz="0" w:space="0" w:color="auto"/>
      </w:divBdr>
    </w:div>
    <w:div w:id="1185486430">
      <w:bodyDiv w:val="1"/>
      <w:marLeft w:val="0"/>
      <w:marRight w:val="0"/>
      <w:marTop w:val="0"/>
      <w:marBottom w:val="0"/>
      <w:divBdr>
        <w:top w:val="none" w:sz="0" w:space="0" w:color="auto"/>
        <w:left w:val="none" w:sz="0" w:space="0" w:color="auto"/>
        <w:bottom w:val="none" w:sz="0" w:space="0" w:color="auto"/>
        <w:right w:val="none" w:sz="0" w:space="0" w:color="auto"/>
      </w:divBdr>
    </w:div>
    <w:div w:id="1203444606">
      <w:bodyDiv w:val="1"/>
      <w:marLeft w:val="0"/>
      <w:marRight w:val="0"/>
      <w:marTop w:val="0"/>
      <w:marBottom w:val="0"/>
      <w:divBdr>
        <w:top w:val="none" w:sz="0" w:space="0" w:color="auto"/>
        <w:left w:val="none" w:sz="0" w:space="0" w:color="auto"/>
        <w:bottom w:val="none" w:sz="0" w:space="0" w:color="auto"/>
        <w:right w:val="none" w:sz="0" w:space="0" w:color="auto"/>
      </w:divBdr>
    </w:div>
    <w:div w:id="1209102424">
      <w:bodyDiv w:val="1"/>
      <w:marLeft w:val="0"/>
      <w:marRight w:val="0"/>
      <w:marTop w:val="0"/>
      <w:marBottom w:val="0"/>
      <w:divBdr>
        <w:top w:val="none" w:sz="0" w:space="0" w:color="auto"/>
        <w:left w:val="none" w:sz="0" w:space="0" w:color="auto"/>
        <w:bottom w:val="none" w:sz="0" w:space="0" w:color="auto"/>
        <w:right w:val="none" w:sz="0" w:space="0" w:color="auto"/>
      </w:divBdr>
    </w:div>
    <w:div w:id="1235581448">
      <w:bodyDiv w:val="1"/>
      <w:marLeft w:val="0"/>
      <w:marRight w:val="0"/>
      <w:marTop w:val="0"/>
      <w:marBottom w:val="0"/>
      <w:divBdr>
        <w:top w:val="none" w:sz="0" w:space="0" w:color="auto"/>
        <w:left w:val="none" w:sz="0" w:space="0" w:color="auto"/>
        <w:bottom w:val="none" w:sz="0" w:space="0" w:color="auto"/>
        <w:right w:val="none" w:sz="0" w:space="0" w:color="auto"/>
      </w:divBdr>
    </w:div>
    <w:div w:id="1275747017">
      <w:bodyDiv w:val="1"/>
      <w:marLeft w:val="0"/>
      <w:marRight w:val="0"/>
      <w:marTop w:val="0"/>
      <w:marBottom w:val="0"/>
      <w:divBdr>
        <w:top w:val="none" w:sz="0" w:space="0" w:color="auto"/>
        <w:left w:val="none" w:sz="0" w:space="0" w:color="auto"/>
        <w:bottom w:val="none" w:sz="0" w:space="0" w:color="auto"/>
        <w:right w:val="none" w:sz="0" w:space="0" w:color="auto"/>
      </w:divBdr>
    </w:div>
    <w:div w:id="1393042400">
      <w:bodyDiv w:val="1"/>
      <w:marLeft w:val="0"/>
      <w:marRight w:val="0"/>
      <w:marTop w:val="0"/>
      <w:marBottom w:val="0"/>
      <w:divBdr>
        <w:top w:val="none" w:sz="0" w:space="0" w:color="auto"/>
        <w:left w:val="none" w:sz="0" w:space="0" w:color="auto"/>
        <w:bottom w:val="none" w:sz="0" w:space="0" w:color="auto"/>
        <w:right w:val="none" w:sz="0" w:space="0" w:color="auto"/>
      </w:divBdr>
    </w:div>
    <w:div w:id="1448622165">
      <w:bodyDiv w:val="1"/>
      <w:marLeft w:val="0"/>
      <w:marRight w:val="0"/>
      <w:marTop w:val="0"/>
      <w:marBottom w:val="0"/>
      <w:divBdr>
        <w:top w:val="none" w:sz="0" w:space="0" w:color="auto"/>
        <w:left w:val="none" w:sz="0" w:space="0" w:color="auto"/>
        <w:bottom w:val="none" w:sz="0" w:space="0" w:color="auto"/>
        <w:right w:val="none" w:sz="0" w:space="0" w:color="auto"/>
      </w:divBdr>
    </w:div>
    <w:div w:id="1546481587">
      <w:bodyDiv w:val="1"/>
      <w:marLeft w:val="0"/>
      <w:marRight w:val="0"/>
      <w:marTop w:val="0"/>
      <w:marBottom w:val="0"/>
      <w:divBdr>
        <w:top w:val="none" w:sz="0" w:space="0" w:color="auto"/>
        <w:left w:val="none" w:sz="0" w:space="0" w:color="auto"/>
        <w:bottom w:val="none" w:sz="0" w:space="0" w:color="auto"/>
        <w:right w:val="none" w:sz="0" w:space="0" w:color="auto"/>
      </w:divBdr>
    </w:div>
    <w:div w:id="1562908662">
      <w:bodyDiv w:val="1"/>
      <w:marLeft w:val="0"/>
      <w:marRight w:val="0"/>
      <w:marTop w:val="0"/>
      <w:marBottom w:val="0"/>
      <w:divBdr>
        <w:top w:val="none" w:sz="0" w:space="0" w:color="auto"/>
        <w:left w:val="none" w:sz="0" w:space="0" w:color="auto"/>
        <w:bottom w:val="none" w:sz="0" w:space="0" w:color="auto"/>
        <w:right w:val="none" w:sz="0" w:space="0" w:color="auto"/>
      </w:divBdr>
    </w:div>
    <w:div w:id="1618487197">
      <w:bodyDiv w:val="1"/>
      <w:marLeft w:val="0"/>
      <w:marRight w:val="0"/>
      <w:marTop w:val="0"/>
      <w:marBottom w:val="0"/>
      <w:divBdr>
        <w:top w:val="none" w:sz="0" w:space="0" w:color="auto"/>
        <w:left w:val="none" w:sz="0" w:space="0" w:color="auto"/>
        <w:bottom w:val="none" w:sz="0" w:space="0" w:color="auto"/>
        <w:right w:val="none" w:sz="0" w:space="0" w:color="auto"/>
      </w:divBdr>
      <w:divsChild>
        <w:div w:id="1280263993">
          <w:marLeft w:val="0"/>
          <w:marRight w:val="0"/>
          <w:marTop w:val="0"/>
          <w:marBottom w:val="0"/>
          <w:divBdr>
            <w:top w:val="none" w:sz="0" w:space="0" w:color="auto"/>
            <w:left w:val="none" w:sz="0" w:space="0" w:color="auto"/>
            <w:bottom w:val="none" w:sz="0" w:space="0" w:color="auto"/>
            <w:right w:val="none" w:sz="0" w:space="0" w:color="auto"/>
          </w:divBdr>
        </w:div>
      </w:divsChild>
    </w:div>
    <w:div w:id="1678194418">
      <w:bodyDiv w:val="1"/>
      <w:marLeft w:val="0"/>
      <w:marRight w:val="0"/>
      <w:marTop w:val="0"/>
      <w:marBottom w:val="0"/>
      <w:divBdr>
        <w:top w:val="none" w:sz="0" w:space="0" w:color="auto"/>
        <w:left w:val="none" w:sz="0" w:space="0" w:color="auto"/>
        <w:bottom w:val="none" w:sz="0" w:space="0" w:color="auto"/>
        <w:right w:val="none" w:sz="0" w:space="0" w:color="auto"/>
      </w:divBdr>
    </w:div>
    <w:div w:id="1685522610">
      <w:bodyDiv w:val="1"/>
      <w:marLeft w:val="0"/>
      <w:marRight w:val="0"/>
      <w:marTop w:val="0"/>
      <w:marBottom w:val="0"/>
      <w:divBdr>
        <w:top w:val="none" w:sz="0" w:space="0" w:color="auto"/>
        <w:left w:val="none" w:sz="0" w:space="0" w:color="auto"/>
        <w:bottom w:val="none" w:sz="0" w:space="0" w:color="auto"/>
        <w:right w:val="none" w:sz="0" w:space="0" w:color="auto"/>
      </w:divBdr>
      <w:divsChild>
        <w:div w:id="364016497">
          <w:marLeft w:val="0"/>
          <w:marRight w:val="0"/>
          <w:marTop w:val="0"/>
          <w:marBottom w:val="0"/>
          <w:divBdr>
            <w:top w:val="none" w:sz="0" w:space="0" w:color="auto"/>
            <w:left w:val="none" w:sz="0" w:space="0" w:color="auto"/>
            <w:bottom w:val="none" w:sz="0" w:space="0" w:color="auto"/>
            <w:right w:val="none" w:sz="0" w:space="0" w:color="auto"/>
          </w:divBdr>
        </w:div>
      </w:divsChild>
    </w:div>
    <w:div w:id="1760977137">
      <w:bodyDiv w:val="1"/>
      <w:marLeft w:val="0"/>
      <w:marRight w:val="0"/>
      <w:marTop w:val="0"/>
      <w:marBottom w:val="0"/>
      <w:divBdr>
        <w:top w:val="none" w:sz="0" w:space="0" w:color="auto"/>
        <w:left w:val="none" w:sz="0" w:space="0" w:color="auto"/>
        <w:bottom w:val="none" w:sz="0" w:space="0" w:color="auto"/>
        <w:right w:val="none" w:sz="0" w:space="0" w:color="auto"/>
      </w:divBdr>
    </w:div>
    <w:div w:id="1790977079">
      <w:bodyDiv w:val="1"/>
      <w:marLeft w:val="0"/>
      <w:marRight w:val="0"/>
      <w:marTop w:val="0"/>
      <w:marBottom w:val="0"/>
      <w:divBdr>
        <w:top w:val="none" w:sz="0" w:space="0" w:color="auto"/>
        <w:left w:val="none" w:sz="0" w:space="0" w:color="auto"/>
        <w:bottom w:val="none" w:sz="0" w:space="0" w:color="auto"/>
        <w:right w:val="none" w:sz="0" w:space="0" w:color="auto"/>
      </w:divBdr>
    </w:div>
    <w:div w:id="1897934365">
      <w:bodyDiv w:val="1"/>
      <w:marLeft w:val="0"/>
      <w:marRight w:val="0"/>
      <w:marTop w:val="0"/>
      <w:marBottom w:val="0"/>
      <w:divBdr>
        <w:top w:val="none" w:sz="0" w:space="0" w:color="auto"/>
        <w:left w:val="none" w:sz="0" w:space="0" w:color="auto"/>
        <w:bottom w:val="none" w:sz="0" w:space="0" w:color="auto"/>
        <w:right w:val="none" w:sz="0" w:space="0" w:color="auto"/>
      </w:divBdr>
    </w:div>
    <w:div w:id="1917545075">
      <w:bodyDiv w:val="1"/>
      <w:marLeft w:val="0"/>
      <w:marRight w:val="0"/>
      <w:marTop w:val="0"/>
      <w:marBottom w:val="0"/>
      <w:divBdr>
        <w:top w:val="none" w:sz="0" w:space="0" w:color="auto"/>
        <w:left w:val="none" w:sz="0" w:space="0" w:color="auto"/>
        <w:bottom w:val="none" w:sz="0" w:space="0" w:color="auto"/>
        <w:right w:val="none" w:sz="0" w:space="0" w:color="auto"/>
      </w:divBdr>
    </w:div>
    <w:div w:id="1942252779">
      <w:bodyDiv w:val="1"/>
      <w:marLeft w:val="0"/>
      <w:marRight w:val="0"/>
      <w:marTop w:val="0"/>
      <w:marBottom w:val="0"/>
      <w:divBdr>
        <w:top w:val="none" w:sz="0" w:space="0" w:color="auto"/>
        <w:left w:val="none" w:sz="0" w:space="0" w:color="auto"/>
        <w:bottom w:val="none" w:sz="0" w:space="0" w:color="auto"/>
        <w:right w:val="none" w:sz="0" w:space="0" w:color="auto"/>
      </w:divBdr>
    </w:div>
    <w:div w:id="2045519528">
      <w:bodyDiv w:val="1"/>
      <w:marLeft w:val="0"/>
      <w:marRight w:val="0"/>
      <w:marTop w:val="0"/>
      <w:marBottom w:val="0"/>
      <w:divBdr>
        <w:top w:val="none" w:sz="0" w:space="0" w:color="auto"/>
        <w:left w:val="none" w:sz="0" w:space="0" w:color="auto"/>
        <w:bottom w:val="none" w:sz="0" w:space="0" w:color="auto"/>
        <w:right w:val="none" w:sz="0" w:space="0" w:color="auto"/>
      </w:divBdr>
    </w:div>
    <w:div w:id="2086805369">
      <w:bodyDiv w:val="1"/>
      <w:marLeft w:val="0"/>
      <w:marRight w:val="0"/>
      <w:marTop w:val="0"/>
      <w:marBottom w:val="0"/>
      <w:divBdr>
        <w:top w:val="none" w:sz="0" w:space="0" w:color="auto"/>
        <w:left w:val="none" w:sz="0" w:space="0" w:color="auto"/>
        <w:bottom w:val="none" w:sz="0" w:space="0" w:color="auto"/>
        <w:right w:val="none" w:sz="0" w:space="0" w:color="auto"/>
      </w:divBdr>
    </w:div>
    <w:div w:id="210537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C0A1-A197-4A33-B687-41D0270FE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2880</Words>
  <Characters>15552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Rairon Braga</dc:creator>
  <cp:keywords/>
  <dc:description/>
  <cp:lastModifiedBy>Victor Barros</cp:lastModifiedBy>
  <cp:revision>13</cp:revision>
  <dcterms:created xsi:type="dcterms:W3CDTF">2025-11-25T21:48:00Z</dcterms:created>
  <dcterms:modified xsi:type="dcterms:W3CDTF">2025-11-25T23:23:00Z</dcterms:modified>
</cp:coreProperties>
</file>