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b/>
          <w:color w:val="53439B"/>
          <w:sz w:val="18"/>
        </w:rPr>
        <w:t>NEXUS  /  PLAN INDIVIDUAL DE TRABAJO</w:t>
      </w:r>
    </w:p>
    <w:p>
      <w:pPr>
        <w:pStyle w:val="Title"/>
      </w:pPr>
      <w:r>
        <w:t>Plan de trabajo de Miguel</w:t>
      </w:r>
    </w:p>
    <w:p>
      <w:pPr>
        <w:spacing w:after="160"/>
      </w:pPr>
      <w:r>
        <w:rPr>
          <w:color w:val="687083"/>
          <w:sz w:val="18"/>
        </w:rPr>
        <w:t>Miguel René Montenegro Soto  |  Files, carpetas y proveedor de almacenamiento  |  Horizonte: 29 de septiembre al 9 de octubre de 2026</w:t>
      </w:r>
    </w:p>
    <w:p>
      <w:r>
        <w:t>Eres dueño de Files/Storage para el avance del 50% del 9 de octubre: carpetas, metadatos y carga/descarga mínima con MinIO. Víctor desarrolla las pantallas; tú entregas los estados y contratos. Anthony define con el equipo el límite del plan que se aplicará a las cargas.</w:t>
      </w:r>
    </w:p>
    <w:p>
      <w:pPr>
        <w:pStyle w:val="Heading1"/>
      </w:pPr>
      <w:r>
        <w:t>Resultado esperado</w:t>
      </w:r>
    </w:p>
    <w:p>
      <w:r>
        <w:t>Una persona autenticada puede crear/listar carpeta, subir y descargar un archivo autorizado; los metadatos quedan en PostgreSQL y los bytes en MinIO, con comprobación del tenant en servidor.</w:t>
      </w:r>
    </w:p>
    <w:p>
      <w:pPr>
        <w:pStyle w:val="Heading1"/>
      </w:pPr>
      <w:r>
        <w:t>Responsabilidades y límites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5040"/>
        <w:gridCol w:w="5040"/>
      </w:tblGrid>
      <w:tr>
        <w:trPr>
          <w:tblHeader w:val="true"/>
        </w:trPr>
        <w:tc>
          <w:tcPr>
            <w:tcW w:type="dxa" w:w="4680"/>
            <w:shd w:fill="23184E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Inter" w:hAnsi="Inter"/>
                <w:b/>
                <w:color w:val="FFFFFF"/>
                <w:sz w:val="18"/>
              </w:rPr>
              <w:t>Te corresponde</w:t>
            </w:r>
          </w:p>
        </w:tc>
        <w:tc>
          <w:tcPr>
            <w:tcW w:type="dxa" w:w="4680"/>
            <w:shd w:fill="23184E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Inter" w:hAnsi="Inter"/>
                <w:b/>
                <w:color w:val="FFFFFF"/>
                <w:sz w:val="18"/>
              </w:rPr>
              <w:t>No te corresponde</w:t>
            </w:r>
          </w:p>
        </w:tc>
      </w:tr>
      <w:tr>
        <w:tc>
          <w:tcPr>
            <w:tcW w:type="dxa" w:w="46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Inter" w:hAnsi="Inter"/>
                <w:color w:val="191E2B"/>
                <w:sz w:val="18"/>
              </w:rPr>
              <w:t>Casos de uso Files: carpetas, metadatos y carga/descarga acordada.</w:t>
            </w:r>
          </w:p>
        </w:tc>
        <w:tc>
          <w:tcPr>
            <w:tcW w:type="dxa" w:w="46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Inter" w:hAnsi="Inter"/>
                <w:color w:val="191E2B"/>
                <w:sz w:val="18"/>
              </w:rPr>
              <w:t>No implementas explorador ni estilos: das especificación de estados a Víctor.</w:t>
            </w:r>
          </w:p>
        </w:tc>
      </w:tr>
      <w:tr>
        <w:tc>
          <w:tcPr>
            <w:tcW w:type="dxa" w:w="46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7F8FB"/>
          </w:tcPr>
          <w:p>
            <w:pPr>
              <w:spacing w:after="20" w:line="252" w:lineRule="auto"/>
            </w:pPr>
            <w:r>
              <w:rPr>
                <w:rFonts w:ascii="Inter" w:hAnsi="Inter"/>
                <w:color w:val="191E2B"/>
                <w:sz w:val="18"/>
              </w:rPr>
              <w:t>Interfaz pequeña StorageProvider y adaptador MinIO del entorno local.</w:t>
            </w:r>
          </w:p>
        </w:tc>
        <w:tc>
          <w:tcPr>
            <w:tcW w:type="dxa" w:w="46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7F8FB"/>
          </w:tcPr>
          <w:p>
            <w:pPr>
              <w:spacing w:after="20" w:line="252" w:lineRule="auto"/>
            </w:pPr>
            <w:r>
              <w:rPr>
                <w:rFonts w:ascii="Inter" w:hAnsi="Inter"/>
                <w:color w:val="191E2B"/>
                <w:sz w:val="18"/>
              </w:rPr>
              <w:t>No decides la cuota del plan; acuerdas fuente y unidad con Anthony.</w:t>
            </w:r>
          </w:p>
        </w:tc>
      </w:tr>
      <w:tr>
        <w:tc>
          <w:tcPr>
            <w:tcW w:type="dxa" w:w="46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Inter" w:hAnsi="Inter"/>
                <w:color w:val="191E2B"/>
                <w:sz w:val="18"/>
              </w:rPr>
              <w:t>Validaciones de tamaño/tipo/cuota si la regla está confirmada.</w:t>
            </w:r>
          </w:p>
        </w:tc>
        <w:tc>
          <w:tcPr>
            <w:tcW w:type="dxa" w:w="46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Inter" w:hAnsi="Inter"/>
                <w:color w:val="191E2B"/>
                <w:sz w:val="18"/>
              </w:rPr>
              <w:t>No expones credenciales/bucket al navegador ni aceptas prefijos arbitrarios del cliente.</w:t>
            </w:r>
          </w:p>
        </w:tc>
      </w:tr>
      <w:tr>
        <w:tc>
          <w:tcPr>
            <w:tcW w:type="dxa" w:w="46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7F8FB"/>
          </w:tcPr>
          <w:p>
            <w:pPr>
              <w:spacing w:after="20" w:line="252" w:lineRule="auto"/>
            </w:pPr>
            <w:r>
              <w:rPr>
                <w:rFonts w:ascii="Inter" w:hAnsi="Inter"/>
                <w:color w:val="191E2B"/>
                <w:sz w:val="18"/>
              </w:rPr>
              <w:t>Pruebas de acceso, errores del proveedor y aislamiento por organización.</w:t>
            </w:r>
          </w:p>
        </w:tc>
        <w:tc>
          <w:tcPr>
            <w:tcW w:type="dxa" w:w="46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7F8FB"/>
          </w:tcPr>
          <w:p>
            <w:pPr>
              <w:spacing w:after="20" w:line="252" w:lineRule="auto"/>
            </w:pPr>
            <w:r>
              <w:rPr>
                <w:rFonts w:ascii="Inter" w:hAnsi="Inter"/>
                <w:color w:val="191E2B"/>
                <w:sz w:val="18"/>
              </w:rPr>
              <w:t>Versiones, papelera, enlaces, cifrado completo y otros destinos se marcan pendientes si no caben en este hito.</w:t>
            </w:r>
          </w:p>
        </w:tc>
      </w:tr>
    </w:tbl>
    <w:p>
      <w:pPr>
        <w:spacing w:after="20"/>
      </w:pPr>
    </w:p>
    <w:p>
      <w:pPr>
        <w:pStyle w:val="Heading1"/>
      </w:pPr>
      <w:r>
        <w:t>Ruta paso a paso</w:t>
      </w:r>
    </w:p>
    <w:p>
      <w:pPr>
        <w:keepNext/>
        <w:spacing w:before="120" w:after="40"/>
      </w:pPr>
      <w:r>
        <w:rPr>
          <w:b/>
          <w:color w:val="53439B"/>
        </w:rPr>
        <w:t>1. Revisar modelo y alcance</w:t>
      </w:r>
    </w:p>
    <w:p>
      <w:pPr>
        <w:keepLines/>
        <w:spacing w:after="40"/>
        <w:ind w:left="317"/>
      </w:pPr>
      <w:r>
        <w:t>Lee BUSINESS_RULES, CONTRACTS, ARCHITECTURE, ENTS_REGISTRY y diccionario de datos. Identifica carpeta, archivo y versión; delimita operaciones necesarias para la demo. Crea feature/miguel/files-storage-mvp.</w:t>
      </w:r>
    </w:p>
    <w:p>
      <w:pPr>
        <w:spacing w:after="100"/>
        <w:ind w:left="317"/>
      </w:pPr>
      <w:r>
        <w:rPr>
          <w:b/>
        </w:rPr>
        <w:t xml:space="preserve">Resultado verificable: </w:t>
      </w:r>
      <w:r>
        <w:t>Lista de operaciones, tablas y validaciones confirmadas.</w:t>
      </w:r>
    </w:p>
    <w:p>
      <w:pPr>
        <w:keepNext/>
        <w:spacing w:before="120" w:after="40"/>
      </w:pPr>
      <w:r>
        <w:rPr>
          <w:b/>
          <w:color w:val="53439B"/>
        </w:rPr>
        <w:t>2. Acordar contrato y cuota</w:t>
      </w:r>
    </w:p>
    <w:p>
      <w:pPr>
        <w:keepLines/>
        <w:spacing w:after="40"/>
        <w:ind w:left="317"/>
      </w:pPr>
      <w:r>
        <w:t>Con Víctor define rutas y campos para crear/listar/cargar/descargar, errores y estados. Con Anthony acuerda formato, unidad y respuesta para límite excedido. No uses organizationId del cliente como autorización.</w:t>
      </w:r>
    </w:p>
    <w:p>
      <w:pPr>
        <w:spacing w:after="100"/>
        <w:ind w:left="317"/>
      </w:pPr>
      <w:r>
        <w:rPr>
          <w:b/>
        </w:rPr>
        <w:t xml:space="preserve">Resultado verificable: </w:t>
      </w:r>
      <w:r>
        <w:t>Consumidores conocen request/response y regla de cuota.</w:t>
      </w:r>
    </w:p>
    <w:p>
      <w:pPr>
        <w:keepNext/>
        <w:spacing w:before="120" w:after="40"/>
      </w:pPr>
      <w:r>
        <w:rPr>
          <w:b/>
          <w:color w:val="53439B"/>
        </w:rPr>
        <w:t>3. Levantar el proveedor</w:t>
      </w:r>
    </w:p>
    <w:p>
      <w:pPr>
        <w:keepLines/>
        <w:spacing w:after="40"/>
        <w:ind w:left="317"/>
      </w:pPr>
      <w:r>
        <w:t>Verifica MinIO vía Compose y variables locales. Crea interfaz StorageProvider para guardar, recuperar y eliminar; implementa el adaptador. Mantén el SDK dentro del adaptador.</w:t>
      </w:r>
    </w:p>
    <w:p>
      <w:pPr>
        <w:spacing w:after="100"/>
        <w:ind w:left="317"/>
      </w:pPr>
      <w:r>
        <w:rPr>
          <w:b/>
        </w:rPr>
        <w:t xml:space="preserve">Resultado verificable: </w:t>
      </w:r>
      <w:r>
        <w:t>Files llama una abstracción y registra configuración sin secretos.</w:t>
      </w:r>
    </w:p>
    <w:p>
      <w:pPr>
        <w:keepNext/>
        <w:spacing w:before="120" w:after="40"/>
      </w:pPr>
      <w:r>
        <w:rPr>
          <w:b/>
          <w:color w:val="53439B"/>
        </w:rPr>
        <w:t>4. Construir carpetas y metadatos</w:t>
      </w:r>
    </w:p>
    <w:p>
      <w:pPr>
        <w:keepLines/>
        <w:spacing w:after="40"/>
        <w:ind w:left="317"/>
      </w:pPr>
      <w:r>
        <w:t>Implementa creación/listado y metadatos conforme al modelo acordado. Cada consulta/escritura valida pertenencia al tenant desde sesión. El servidor controla claves y prefijos de objetos.</w:t>
      </w:r>
    </w:p>
    <w:p>
      <w:pPr>
        <w:spacing w:after="100"/>
        <w:ind w:left="317"/>
      </w:pPr>
      <w:r>
        <w:rPr>
          <w:b/>
        </w:rPr>
        <w:t xml:space="preserve">Resultado verificable: </w:t>
      </w:r>
      <w:r>
        <w:t>Datos organizados en Postgres y filtrados por organización autorizada.</w:t>
      </w:r>
    </w:p>
    <w:p>
      <w:pPr>
        <w:keepNext/>
        <w:spacing w:before="120" w:after="40"/>
      </w:pPr>
      <w:r>
        <w:rPr>
          <w:b/>
          <w:color w:val="53439B"/>
        </w:rPr>
        <w:t>5. Implementar carga</w:t>
      </w:r>
    </w:p>
    <w:p>
      <w:pPr>
        <w:keepLines/>
        <w:spacing w:after="40"/>
        <w:ind w:left="317"/>
      </w:pPr>
      <w:r>
        <w:t>Valida sesión, carpeta, tipo, tamaño y cuota. Guarda bytes en MinIO y registra metadatos; si la segunda parte falla, compensa o documenta recuperación de objeto huérfano. Reporta éxito solo tras completar pasos necesarios.</w:t>
      </w:r>
    </w:p>
    <w:p>
      <w:pPr>
        <w:spacing w:after="100"/>
        <w:ind w:left="317"/>
      </w:pPr>
      <w:r>
        <w:rPr>
          <w:b/>
        </w:rPr>
        <w:t xml:space="preserve">Resultado verificable: </w:t>
      </w:r>
      <w:r>
        <w:t>Carga funcional y errores sin falsos positivos ni secretos.</w:t>
      </w:r>
    </w:p>
    <w:p>
      <w:pPr>
        <w:keepNext/>
        <w:spacing w:before="120" w:after="40"/>
      </w:pPr>
      <w:r>
        <w:rPr>
          <w:b/>
          <w:color w:val="53439B"/>
        </w:rPr>
        <w:t>6. Implementar descarga protegida</w:t>
      </w:r>
    </w:p>
    <w:p>
      <w:pPr>
        <w:keepLines/>
        <w:spacing w:after="40"/>
        <w:ind w:left="317"/>
      </w:pPr>
      <w:r>
        <w:t>Antes de devolver bytes valida recurso, tenant y permisos. Usa mecanismo de descarga aprobado por contrato; nunca entrega claves de proveedor.</w:t>
      </w:r>
    </w:p>
    <w:p>
      <w:pPr>
        <w:spacing w:after="100"/>
        <w:ind w:left="317"/>
      </w:pPr>
      <w:r>
        <w:rPr>
          <w:b/>
        </w:rPr>
        <w:t xml:space="preserve">Resultado verificable: </w:t>
      </w:r>
      <w:r>
        <w:t>Usuario con permiso descarga; usuario ajeno recibe error seguro.</w:t>
      </w:r>
    </w:p>
    <w:p>
      <w:pPr>
        <w:keepNext/>
        <w:spacing w:before="120" w:after="40"/>
      </w:pPr>
      <w:r>
        <w:rPr>
          <w:b/>
          <w:color w:val="53439B"/>
        </w:rPr>
        <w:t>7. Probar e integrar</w:t>
      </w:r>
    </w:p>
    <w:p>
      <w:pPr>
        <w:keepLines/>
        <w:spacing w:after="40"/>
        <w:ind w:left="317"/>
      </w:pPr>
      <w:r>
        <w:t>Prueba éxito, archivo inexistente, límite, MinIO no disponible y acceso de otra organización. Entrega a Víctor estados inicial/cargando/vacío/error/éxito y abre PR; corrige defectos de tu dominio.</w:t>
      </w:r>
    </w:p>
    <w:p>
      <w:pPr>
        <w:spacing w:after="100"/>
        <w:ind w:left="317"/>
      </w:pPr>
      <w:r>
        <w:rPr>
          <w:b/>
        </w:rPr>
        <w:t xml:space="preserve">Resultado verificable: </w:t>
      </w:r>
      <w:r>
        <w:t>Flujo repetible, estados documentados y PR revisado.</w:t>
      </w:r>
    </w:p>
    <w:p>
      <w:pPr>
        <w:pStyle w:val="Heading1"/>
      </w:pPr>
      <w:r>
        <w:t>Entregables para revisión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5040"/>
        <w:gridCol w:w="5040"/>
      </w:tblGrid>
      <w:tr>
        <w:trPr>
          <w:tblHeader w:val="true"/>
        </w:trPr>
        <w:tc>
          <w:tcPr>
            <w:tcW w:type="dxa" w:w="2232"/>
            <w:shd w:fill="23184E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Inter" w:hAnsi="Inter"/>
                <w:b/>
                <w:color w:val="FFFFFF"/>
                <w:sz w:val="18"/>
              </w:rPr>
              <w:t>Entregable</w:t>
            </w:r>
          </w:p>
        </w:tc>
        <w:tc>
          <w:tcPr>
            <w:tcW w:type="dxa" w:w="7128"/>
            <w:shd w:fill="23184E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Inter" w:hAnsi="Inter"/>
                <w:b/>
                <w:color w:val="FFFFFF"/>
                <w:sz w:val="18"/>
              </w:rPr>
              <w:t>Criterio de aceptación</w:t>
            </w:r>
          </w:p>
        </w:tc>
      </w:tr>
      <w:tr>
        <w:tc>
          <w:tcPr>
            <w:tcW w:type="dxa" w:w="22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Inter" w:hAnsi="Inter"/>
                <w:color w:val="191E2B"/>
                <w:sz w:val="18"/>
              </w:rPr>
              <w:t>Storage</w:t>
            </w:r>
          </w:p>
        </w:tc>
        <w:tc>
          <w:tcPr>
            <w:tcW w:type="dxa" w:w="712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Inter" w:hAnsi="Inter"/>
                <w:color w:val="191E2B"/>
                <w:sz w:val="18"/>
              </w:rPr>
              <w:t>Interfaz StorageProvider y adaptador MinIO probado.</w:t>
            </w:r>
          </w:p>
        </w:tc>
      </w:tr>
      <w:tr>
        <w:tc>
          <w:tcPr>
            <w:tcW w:type="dxa" w:w="22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7F8FB"/>
          </w:tcPr>
          <w:p>
            <w:pPr>
              <w:spacing w:after="20" w:line="252" w:lineRule="auto"/>
            </w:pPr>
            <w:r>
              <w:rPr>
                <w:rFonts w:ascii="Inter" w:hAnsi="Inter"/>
                <w:color w:val="191E2B"/>
                <w:sz w:val="18"/>
              </w:rPr>
              <w:t>Files</w:t>
            </w:r>
          </w:p>
        </w:tc>
        <w:tc>
          <w:tcPr>
            <w:tcW w:type="dxa" w:w="712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7F8FB"/>
          </w:tcPr>
          <w:p>
            <w:pPr>
              <w:spacing w:after="20" w:line="252" w:lineRule="auto"/>
            </w:pPr>
            <w:r>
              <w:rPr>
                <w:rFonts w:ascii="Inter" w:hAnsi="Inter"/>
                <w:color w:val="191E2B"/>
                <w:sz w:val="18"/>
              </w:rPr>
              <w:t>Carpetas/metadatos y carga/descarga mínimas.</w:t>
            </w:r>
          </w:p>
        </w:tc>
      </w:tr>
      <w:tr>
        <w:tc>
          <w:tcPr>
            <w:tcW w:type="dxa" w:w="22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Inter" w:hAnsi="Inter"/>
                <w:color w:val="191E2B"/>
                <w:sz w:val="18"/>
              </w:rPr>
              <w:t>Pruebas</w:t>
            </w:r>
          </w:p>
        </w:tc>
        <w:tc>
          <w:tcPr>
            <w:tcW w:type="dxa" w:w="712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Inter" w:hAnsi="Inter"/>
                <w:color w:val="191E2B"/>
                <w:sz w:val="18"/>
              </w:rPr>
              <w:t>Éxito, fallo de proveedor, límite, recurso ajeno y persistencia incompleta.</w:t>
            </w:r>
          </w:p>
        </w:tc>
      </w:tr>
      <w:tr>
        <w:tc>
          <w:tcPr>
            <w:tcW w:type="dxa" w:w="22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7F8FB"/>
          </w:tcPr>
          <w:p>
            <w:pPr>
              <w:spacing w:after="20" w:line="252" w:lineRule="auto"/>
            </w:pPr>
            <w:r>
              <w:rPr>
                <w:rFonts w:ascii="Inter" w:hAnsi="Inter"/>
                <w:color w:val="191E2B"/>
                <w:sz w:val="18"/>
              </w:rPr>
              <w:t>Integración</w:t>
            </w:r>
          </w:p>
        </w:tc>
        <w:tc>
          <w:tcPr>
            <w:tcW w:type="dxa" w:w="712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7F8FB"/>
          </w:tcPr>
          <w:p>
            <w:pPr>
              <w:spacing w:after="20" w:line="252" w:lineRule="auto"/>
            </w:pPr>
            <w:r>
              <w:rPr>
                <w:rFonts w:ascii="Inter" w:hAnsi="Inter"/>
                <w:color w:val="191E2B"/>
                <w:sz w:val="18"/>
              </w:rPr>
              <w:t>Estados y errores para frontend; seguridad de tenant verificada.</w:t>
            </w:r>
          </w:p>
        </w:tc>
      </w:tr>
    </w:tbl>
    <w:p>
      <w:pPr>
        <w:spacing w:after="20"/>
      </w:pPr>
    </w:p>
    <w:p>
      <w:pPr>
        <w:pStyle w:val="Heading1"/>
      </w:pPr>
      <w:r>
        <w:t>Calendario coordinado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5040"/>
        <w:gridCol w:w="5040"/>
      </w:tblGrid>
      <w:tr>
        <w:trPr>
          <w:tblHeader w:val="true"/>
        </w:trPr>
        <w:tc>
          <w:tcPr>
            <w:tcW w:type="dxa" w:w="1800"/>
            <w:shd w:fill="23184E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Inter" w:hAnsi="Inter"/>
                <w:b/>
                <w:color w:val="FFFFFF"/>
                <w:sz w:val="18"/>
              </w:rPr>
              <w:t>Fecha</w:t>
            </w:r>
          </w:p>
        </w:tc>
        <w:tc>
          <w:tcPr>
            <w:tcW w:type="dxa" w:w="7560"/>
            <w:shd w:fill="23184E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Inter" w:hAnsi="Inter"/>
                <w:b/>
                <w:color w:val="FFFFFF"/>
                <w:sz w:val="18"/>
              </w:rPr>
              <w:t>Trabajo y salida</w:t>
            </w:r>
          </w:p>
        </w:tc>
      </w:tr>
      <w:t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Inter" w:hAnsi="Inter"/>
                <w:color w:val="191E2B"/>
                <w:sz w:val="18"/>
              </w:rPr>
              <w:t>29 sep</w:t>
            </w:r>
          </w:p>
        </w:tc>
        <w:tc>
          <w:tcPr>
            <w:tcW w:type="dxa" w:w="75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Inter" w:hAnsi="Inter"/>
                <w:color w:val="191E2B"/>
                <w:sz w:val="18"/>
              </w:rPr>
              <w:t>Revisar diccionario, reglas Files y servicio MinIO.</w:t>
            </w:r>
          </w:p>
        </w:tc>
      </w:tr>
      <w:t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7F8FB"/>
          </w:tcPr>
          <w:p>
            <w:pPr>
              <w:spacing w:after="20" w:line="252" w:lineRule="auto"/>
            </w:pPr>
            <w:r>
              <w:rPr>
                <w:rFonts w:ascii="Inter" w:hAnsi="Inter"/>
                <w:color w:val="191E2B"/>
                <w:sz w:val="18"/>
              </w:rPr>
              <w:t>30 sep–1 oct</w:t>
            </w:r>
          </w:p>
        </w:tc>
        <w:tc>
          <w:tcPr>
            <w:tcW w:type="dxa" w:w="75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7F8FB"/>
          </w:tcPr>
          <w:p>
            <w:pPr>
              <w:spacing w:after="20" w:line="252" w:lineRule="auto"/>
            </w:pPr>
            <w:r>
              <w:rPr>
                <w:rFonts w:ascii="Inter" w:hAnsi="Inter"/>
                <w:color w:val="191E2B"/>
                <w:sz w:val="18"/>
              </w:rPr>
              <w:t>Acordar endpoint/errores con Víctor y cuota con Anthony.</w:t>
            </w:r>
          </w:p>
        </w:tc>
      </w:tr>
      <w:t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Inter" w:hAnsi="Inter"/>
                <w:color w:val="191E2B"/>
                <w:sz w:val="18"/>
              </w:rPr>
              <w:t>2–5 oct</w:t>
            </w:r>
          </w:p>
        </w:tc>
        <w:tc>
          <w:tcPr>
            <w:tcW w:type="dxa" w:w="75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Inter" w:hAnsi="Inter"/>
                <w:color w:val="191E2B"/>
                <w:sz w:val="18"/>
              </w:rPr>
              <w:t>Construir adaptador, carpetas y metadatos.</w:t>
            </w:r>
          </w:p>
        </w:tc>
      </w:tr>
      <w:t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7F8FB"/>
          </w:tcPr>
          <w:p>
            <w:pPr>
              <w:spacing w:after="20" w:line="252" w:lineRule="auto"/>
            </w:pPr>
            <w:r>
              <w:rPr>
                <w:rFonts w:ascii="Inter" w:hAnsi="Inter"/>
                <w:color w:val="191E2B"/>
                <w:sz w:val="18"/>
              </w:rPr>
              <w:t>6 oct</w:t>
            </w:r>
          </w:p>
        </w:tc>
        <w:tc>
          <w:tcPr>
            <w:tcW w:type="dxa" w:w="75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7F8FB"/>
          </w:tcPr>
          <w:p>
            <w:pPr>
              <w:spacing w:after="20" w:line="252" w:lineRule="auto"/>
            </w:pPr>
            <w:r>
              <w:rPr>
                <w:rFonts w:ascii="Inter" w:hAnsi="Inter"/>
                <w:color w:val="191E2B"/>
                <w:sz w:val="18"/>
              </w:rPr>
              <w:t>Implementar carga/descarga autorizada.</w:t>
            </w:r>
          </w:p>
        </w:tc>
      </w:tr>
      <w:t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Inter" w:hAnsi="Inter"/>
                <w:color w:val="191E2B"/>
                <w:sz w:val="18"/>
              </w:rPr>
              <w:t>7 oct</w:t>
            </w:r>
          </w:p>
        </w:tc>
        <w:tc>
          <w:tcPr>
            <w:tcW w:type="dxa" w:w="75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Inter" w:hAnsi="Inter"/>
                <w:color w:val="191E2B"/>
                <w:sz w:val="18"/>
              </w:rPr>
              <w:t>Probar tenant, cuotas, errores e integración web.</w:t>
            </w:r>
          </w:p>
        </w:tc>
      </w:tr>
      <w:t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7F8FB"/>
          </w:tcPr>
          <w:p>
            <w:pPr>
              <w:spacing w:after="20" w:line="252" w:lineRule="auto"/>
            </w:pPr>
            <w:r>
              <w:rPr>
                <w:rFonts w:ascii="Inter" w:hAnsi="Inter"/>
                <w:color w:val="191E2B"/>
                <w:sz w:val="18"/>
              </w:rPr>
              <w:t>8 oct</w:t>
            </w:r>
          </w:p>
        </w:tc>
        <w:tc>
          <w:tcPr>
            <w:tcW w:type="dxa" w:w="75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7F8FB"/>
          </w:tcPr>
          <w:p>
            <w:pPr>
              <w:spacing w:after="20" w:line="252" w:lineRule="auto"/>
            </w:pPr>
            <w:r>
              <w:rPr>
                <w:rFonts w:ascii="Inter" w:hAnsi="Inter"/>
                <w:color w:val="191E2B"/>
                <w:sz w:val="18"/>
              </w:rPr>
              <w:t>PR, guía local y lista de funciones diferidas.</w:t>
            </w:r>
          </w:p>
        </w:tc>
      </w:tr>
      <w:t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Inter" w:hAnsi="Inter"/>
                <w:color w:val="191E2B"/>
                <w:sz w:val="18"/>
              </w:rPr>
              <w:t>9 oct</w:t>
            </w:r>
          </w:p>
        </w:tc>
        <w:tc>
          <w:tcPr>
            <w:tcW w:type="dxa" w:w="75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Inter" w:hAnsi="Inter"/>
                <w:color w:val="191E2B"/>
                <w:sz w:val="18"/>
              </w:rPr>
              <w:t>Demostrar el flujo de archivos.</w:t>
            </w:r>
          </w:p>
        </w:tc>
      </w:tr>
    </w:tbl>
    <w:p>
      <w:pPr>
        <w:spacing w:after="20"/>
      </w:pPr>
    </w:p>
    <w:p>
      <w:pPr>
        <w:pStyle w:val="Heading1"/>
      </w:pPr>
      <w:r>
        <w:t>Lista de cierre</w:t>
      </w:r>
    </w:p>
    <w:p>
      <w:pPr>
        <w:pStyle w:val="ListBullet"/>
        <w:keepLines/>
        <w:spacing w:after="60"/>
      </w:pPr>
      <w:r>
        <w:t>☐ Los bytes viven en MinIO y los metadatos en Postgres.</w:t>
      </w:r>
    </w:p>
    <w:p>
      <w:pPr>
        <w:pStyle w:val="ListBullet"/>
        <w:keepLines/>
        <w:spacing w:after="60"/>
      </w:pPr>
      <w:r>
        <w:t>☐ Cada lectura y escritura comprueba sesión, organización y permisos en API.</w:t>
      </w:r>
    </w:p>
    <w:p>
      <w:pPr>
        <w:pStyle w:val="ListBullet"/>
        <w:keepLines/>
        <w:spacing w:after="60"/>
      </w:pPr>
      <w:r>
        <w:t>☐ Cliente no elige clave ni prefijo de bucket.</w:t>
      </w:r>
    </w:p>
    <w:p>
      <w:pPr>
        <w:pStyle w:val="ListBullet"/>
        <w:keepLines/>
        <w:spacing w:after="60"/>
      </w:pPr>
      <w:r>
        <w:t>☐ Errores no revelan credenciales, rutas ni archivos de otro tenant.</w:t>
      </w:r>
    </w:p>
    <w:p>
      <w:pPr>
        <w:pStyle w:val="ListBullet"/>
        <w:keepLines/>
        <w:spacing w:after="60"/>
      </w:pPr>
      <w:r>
        <w:t>☐ Éxito se muestra solo cuando objeto y metadatos cumplen la operación.</w:t>
      </w:r>
    </w:p>
    <w:p>
      <w:pPr>
        <w:pStyle w:val="Heading1"/>
      </w:pPr>
      <w:r>
        <w:t>Cómo avanzar mientras aprendes</w:t>
      </w:r>
    </w:p>
    <w:p>
      <w:r>
        <w:t>Sigue una sola carga desde endpoint hasta validación, StorageProvider, MinIO y metadatos. Prueba primero guardar y recuperar un archivo pequeño. Fuerza el error cuando MinIO no responde y observa la compensación. No copies ejemplos que cambien versiones o arquitectura.</w:t>
      </w:r>
    </w:p>
    <w:p>
      <w:pPr>
        <w:pStyle w:val="Heading1"/>
      </w:pPr>
      <w:r>
        <w:t>Reglas comunes para evitar choques</w:t>
      </w:r>
    </w:p>
    <w:p>
      <w:pPr>
        <w:pStyle w:val="ListBullet"/>
        <w:keepLines/>
        <w:spacing w:after="60"/>
      </w:pPr>
      <w:r>
        <w:t>Trabaja en tu módulo y rama asignados; entrega un pull request hacia main y no integres directamente.</w:t>
      </w:r>
    </w:p>
    <w:p>
      <w:pPr>
        <w:pStyle w:val="ListBullet"/>
        <w:keepLines/>
        <w:spacing w:after="60"/>
      </w:pPr>
      <w:r>
        <w:t>Lee las reglas, el contrato y el registro de módulos antes de editar. No cambies en silencio archivos o contratos compartidos.</w:t>
      </w:r>
    </w:p>
    <w:p>
      <w:pPr>
        <w:pStyle w:val="ListBullet"/>
        <w:keepLines/>
        <w:spacing w:after="60"/>
      </w:pPr>
      <w:r>
        <w:t>Antes de tocar un archivo compartido, coordina con Víctor y el dueño afectado; registra acuerdos nuevos en SESSION_LOG.md.</w:t>
      </w:r>
    </w:p>
    <w:p>
      <w:pPr>
        <w:pStyle w:val="ListBullet"/>
        <w:keepLines/>
        <w:spacing w:after="60"/>
      </w:pPr>
      <w:r>
        <w:t>Usa datos de desarrollo. No subas secretos, contraseñas, tokens, credenciales ni archivos reales.</w:t>
      </w:r>
    </w:p>
    <w:p>
      <w:pPr>
        <w:pStyle w:val="ListBullet"/>
        <w:keepLines/>
        <w:spacing w:after="60"/>
      </w:pPr>
      <w:r>
        <w:t>Figma define la apariencia; frontend usa Inter y la paleta de docs/IDENTIDAD_VISUAL.md. Marca como pendiente cualquier frame no cotejado.</w:t>
      </w:r>
    </w:p>
    <w:sectPr w:rsidR="00FC693F" w:rsidRPr="0006063C" w:rsidSect="00034616">
      <w:footerReference w:type="default" r:id="rId9"/>
      <w:pgSz w:w="12240" w:h="15840"/>
      <w:pgMar w:top="979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Inter" w:hAnsi="Inter"/>
        <w:color w:val="687083"/>
        <w:sz w:val="16"/>
      </w:rPr>
      <w:t xml:space="preserve">NEXUS  |  Ingeniería de Software I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Inter" w:hAnsi="Inter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Inter" w:hAnsi="Inter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Inter" w:hAnsi="Inter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Inter" w:hAnsi="Inter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de trabajo de Miguel</dc:title>
  <dc:subject>Nexus - avance funcional 50%</dc:subject>
  <dc:creator>Equipo Nexus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