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b/>
          <w:color w:val="53439B"/>
          <w:sz w:val="18"/>
        </w:rPr>
        <w:t>NEXUS  /  PLAN INDIVIDUAL DE TRABAJO</w:t>
      </w:r>
    </w:p>
    <w:p>
      <w:pPr>
        <w:pStyle w:val="Title"/>
      </w:pPr>
      <w:r>
        <w:t>Plan de trabajo de Sebastián</w:t>
      </w:r>
    </w:p>
    <w:p>
      <w:pPr>
        <w:spacing w:after="160"/>
      </w:pPr>
      <w:r>
        <w:rPr>
          <w:color w:val="687083"/>
          <w:sz w:val="18"/>
        </w:rPr>
        <w:t>Sebastián Josué Siquina Tzun  |  IAM, registro, login y control de acceso  |  Horizonte: 29 de septiembre al 9 de octubre de 2026</w:t>
      </w:r>
    </w:p>
    <w:p>
      <w:r>
        <w:t>Eres dueño del backend de identidad y acceso para el avance del 50% del 9 de octubre: registro, inicio de sesión, sesión/JWT y comprobación de permisos y organización. Víctor implementa e integra las pantallas; tú le entregas campos, estados, errores y ejemplos de API.</w:t>
      </w:r>
    </w:p>
    <w:p>
      <w:pPr>
        <w:pStyle w:val="Heading1"/>
      </w:pPr>
      <w:r>
        <w:t>Resultado esperado</w:t>
      </w:r>
    </w:p>
    <w:p>
      <w:r>
        <w:t>Una persona puede crear cuenta e iniciar sesión; las rutas privadas reconocen la sesión y cada operación obtiene su organización desde una membresía autorizada en servidor.</w:t>
      </w:r>
    </w:p>
    <w:p>
      <w:pPr>
        <w:pStyle w:val="Heading1"/>
      </w:pPr>
      <w:r>
        <w:t>Responsabilidades y límites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5040"/>
        <w:gridCol w:w="5040"/>
      </w:tblGrid>
      <w:tr>
        <w:trPr>
          <w:tblHeader w:val="true"/>
        </w:trPr>
        <w:tc>
          <w:tcPr>
            <w:tcW w:type="dxa" w:w="4680"/>
            <w:shd w:fill="23184E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Inter" w:hAnsi="Inter"/>
                <w:b/>
                <w:color w:val="FFFFFF"/>
                <w:sz w:val="18"/>
              </w:rPr>
              <w:t>Te corresponde</w:t>
            </w:r>
          </w:p>
        </w:tc>
        <w:tc>
          <w:tcPr>
            <w:tcW w:type="dxa" w:w="4680"/>
            <w:shd w:fill="23184E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Inter" w:hAnsi="Inter"/>
                <w:b/>
                <w:color w:val="FFFFFF"/>
                <w:sz w:val="18"/>
              </w:rPr>
              <w:t>No te corresponde</w:t>
            </w:r>
          </w:p>
        </w:tc>
      </w:tr>
      <w:tr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Inter" w:hAnsi="Inter"/>
                <w:color w:val="191E2B"/>
                <w:sz w:val="18"/>
              </w:rPr>
              <w:t>Registro, inicio y cierre de sesión dentro del contrato acordado.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Inter" w:hAnsi="Inter"/>
                <w:color w:val="191E2B"/>
                <w:sz w:val="18"/>
              </w:rPr>
              <w:t>No editas páginas ni estilos en apps/web; entregas a Víctor su comportamiento y errores.</w:t>
            </w:r>
          </w:p>
        </w:tc>
      </w:tr>
      <w:tr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8FB"/>
          </w:tcPr>
          <w:p>
            <w:pPr>
              <w:spacing w:after="20" w:line="252" w:lineRule="auto"/>
            </w:pPr>
            <w:r>
              <w:rPr>
                <w:rFonts w:ascii="Inter" w:hAnsi="Inter"/>
                <w:color w:val="191E2B"/>
                <w:sz w:val="18"/>
              </w:rPr>
              <w:t>Hash Argon2id, emisión y validación del mecanismo de sesión aprobado.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8FB"/>
          </w:tcPr>
          <w:p>
            <w:pPr>
              <w:spacing w:after="20" w:line="252" w:lineRule="auto"/>
            </w:pPr>
            <w:r>
              <w:rPr>
                <w:rFonts w:ascii="Inter" w:hAnsi="Inter"/>
                <w:color w:val="191E2B"/>
                <w:sz w:val="18"/>
              </w:rPr>
              <w:t>No cambias unilateralmente tablas o contrato ya consumido.</w:t>
            </w:r>
          </w:p>
        </w:tc>
      </w:tr>
      <w:tr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Inter" w:hAnsi="Inter"/>
                <w:color w:val="191E2B"/>
                <w:sz w:val="18"/>
              </w:rPr>
              <w:t>Guardas, roles mínimos y contexto confiable de organización.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Inter" w:hAnsi="Inter"/>
                <w:color w:val="191E2B"/>
                <w:sz w:val="18"/>
              </w:rPr>
              <w:t>No guardas contraseñas, tokens, secretos MFA ni credenciales en Git o logs.</w:t>
            </w:r>
          </w:p>
        </w:tc>
      </w:tr>
      <w:tr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8FB"/>
          </w:tcPr>
          <w:p>
            <w:pPr>
              <w:spacing w:after="20" w:line="252" w:lineRule="auto"/>
            </w:pPr>
            <w:r>
              <w:rPr>
                <w:rFonts w:ascii="Inter" w:hAnsi="Inter"/>
                <w:color w:val="191E2B"/>
                <w:sz w:val="18"/>
              </w:rPr>
              <w:t>Pruebas de éxito, error de credenciales, ausencia de sesión y acceso denegado.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8FB"/>
          </w:tcPr>
          <w:p>
            <w:pPr>
              <w:spacing w:after="20" w:line="252" w:lineRule="auto"/>
            </w:pPr>
            <w:r>
              <w:rPr>
                <w:rFonts w:ascii="Inter" w:hAnsi="Inter"/>
                <w:color w:val="191E2B"/>
                <w:sz w:val="18"/>
              </w:rPr>
              <w:t>MFA completo y recuperación real no se presentan como hechos si quedan fuera del hito.</w:t>
            </w:r>
          </w:p>
        </w:tc>
      </w:tr>
    </w:tbl>
    <w:p>
      <w:pPr>
        <w:spacing w:after="20"/>
      </w:pPr>
    </w:p>
    <w:p>
      <w:pPr>
        <w:pStyle w:val="Heading1"/>
      </w:pPr>
      <w:r>
        <w:t>Ruta paso a paso</w:t>
      </w:r>
    </w:p>
    <w:p>
      <w:pPr>
        <w:keepNext/>
        <w:spacing w:before="120" w:after="40"/>
      </w:pPr>
      <w:r>
        <w:rPr>
          <w:b/>
          <w:color w:val="53439B"/>
        </w:rPr>
        <w:t>1. Leer las reglas y conocer el módulo</w:t>
      </w:r>
    </w:p>
    <w:p>
      <w:pPr>
        <w:keepLines/>
        <w:spacing w:after="40"/>
        <w:ind w:left="317"/>
      </w:pPr>
      <w:r>
        <w:t>Lee BUSINESS_RULES, CONTRACTS, ARCHITECTURE, ENTS_REGISTRY y el diccionario de datos. Identifica usuario, organización, membresía, roles y sesión. Crea feature/sebastian/iam-mvp.</w:t>
      </w:r>
    </w:p>
    <w:p>
      <w:pPr>
        <w:spacing w:after="100"/>
        <w:ind w:left="317"/>
      </w:pPr>
      <w:r>
        <w:rPr>
          <w:b/>
        </w:rPr>
        <w:t xml:space="preserve">Resultado verificable: </w:t>
      </w:r>
      <w:r>
        <w:t>Lista de campos confirmados y preguntas antes de implementar.</w:t>
      </w:r>
    </w:p>
    <w:p>
      <w:pPr>
        <w:keepNext/>
        <w:spacing w:before="120" w:after="40"/>
      </w:pPr>
      <w:r>
        <w:rPr>
          <w:b/>
          <w:color w:val="53439B"/>
        </w:rPr>
        <w:t>2. Definir contrato IAM con consumidores</w:t>
      </w:r>
    </w:p>
    <w:p>
      <w:pPr>
        <w:keepLines/>
        <w:spacing w:after="40"/>
        <w:ind w:left="317"/>
      </w:pPr>
      <w:r>
        <w:t>Con Víctor acuerda entrada/salida de registro y login, mecanismo de sesión, identidad/organización presentada y errores públicos. Confirma que el frontend no selecciona una organización confiable para autorizar. Propón ajustes al contrato y espera confirmación.</w:t>
      </w:r>
    </w:p>
    <w:p>
      <w:pPr>
        <w:spacing w:after="100"/>
        <w:ind w:left="317"/>
      </w:pPr>
      <w:r>
        <w:rPr>
          <w:b/>
        </w:rPr>
        <w:t xml:space="preserve">Resultado verificable: </w:t>
      </w:r>
      <w:r>
        <w:t>Ejemplos de petición, respuesta y errores aceptados por consumidor.</w:t>
      </w:r>
    </w:p>
    <w:p>
      <w:pPr>
        <w:keepNext/>
        <w:spacing w:before="120" w:after="40"/>
      </w:pPr>
      <w:r>
        <w:rPr>
          <w:b/>
          <w:color w:val="53439B"/>
        </w:rPr>
        <w:t>3. Implementar registro</w:t>
      </w:r>
    </w:p>
    <w:p>
      <w:pPr>
        <w:keepLines/>
        <w:spacing w:after="40"/>
        <w:ind w:left="317"/>
      </w:pPr>
      <w:r>
        <w:t>Valida campos y formato, trata correo duplicado según regla acordada y guarda la contraseña con Argon2id. Persiste solo datos necesarios y estado inicial establecido.</w:t>
      </w:r>
    </w:p>
    <w:p>
      <w:pPr>
        <w:spacing w:after="100"/>
        <w:ind w:left="317"/>
      </w:pPr>
      <w:r>
        <w:rPr>
          <w:b/>
        </w:rPr>
        <w:t xml:space="preserve">Resultado verificable: </w:t>
      </w:r>
      <w:r>
        <w:t>Pruebas de registro válido, datos inválidos y contraseña no reversible.</w:t>
      </w:r>
    </w:p>
    <w:p>
      <w:pPr>
        <w:keepNext/>
        <w:spacing w:before="120" w:after="40"/>
      </w:pPr>
      <w:r>
        <w:rPr>
          <w:b/>
          <w:color w:val="53439B"/>
        </w:rPr>
        <w:t>4. Implementar login y sesión</w:t>
      </w:r>
    </w:p>
    <w:p>
      <w:pPr>
        <w:keepLines/>
        <w:spacing w:after="40"/>
        <w:ind w:left="317"/>
      </w:pPr>
      <w:r>
        <w:t>Valida credenciales, emite sesión/JWT en forma aprobada y aplica expiración. No escribas token completo en log ni lo muestres en errores. Implementa cierre/revocación solo si está en el contrato.</w:t>
      </w:r>
    </w:p>
    <w:p>
      <w:pPr>
        <w:spacing w:after="100"/>
        <w:ind w:left="317"/>
      </w:pPr>
      <w:r>
        <w:rPr>
          <w:b/>
        </w:rPr>
        <w:t xml:space="preserve">Resultado verificable: </w:t>
      </w:r>
      <w:r>
        <w:t>Login correcto e incorrecto responden estados previsibles.</w:t>
      </w:r>
    </w:p>
    <w:p>
      <w:pPr>
        <w:keepNext/>
        <w:spacing w:before="120" w:after="40"/>
      </w:pPr>
      <w:r>
        <w:rPr>
          <w:b/>
          <w:color w:val="53439B"/>
        </w:rPr>
        <w:t>5. Proteger una ruta y validar tenant</w:t>
      </w:r>
    </w:p>
    <w:p>
      <w:pPr>
        <w:keepLines/>
        <w:spacing w:after="40"/>
        <w:ind w:left="317"/>
      </w:pPr>
      <w:r>
        <w:t>Agrega guardas para sesión y roles. Obtén el contexto organizacional desde sesión/membresía. Prueba sesión ausente, rol insuficiente y acceso a recurso de otro tenant sin revelar datos.</w:t>
      </w:r>
    </w:p>
    <w:p>
      <w:pPr>
        <w:spacing w:after="100"/>
        <w:ind w:left="317"/>
      </w:pPr>
      <w:r>
        <w:rPr>
          <w:b/>
        </w:rPr>
        <w:t xml:space="preserve">Resultado verificable: </w:t>
      </w:r>
      <w:r>
        <w:t>La API deniega llamadas manipuladas y no depende del tenant enviado por UI.</w:t>
      </w:r>
    </w:p>
    <w:p>
      <w:pPr>
        <w:keepNext/>
        <w:spacing w:before="120" w:after="40"/>
      </w:pPr>
      <w:r>
        <w:rPr>
          <w:b/>
          <w:color w:val="53439B"/>
        </w:rPr>
        <w:t>6. Entregar especificación a Víctor</w:t>
      </w:r>
    </w:p>
    <w:p>
      <w:pPr>
        <w:keepLines/>
        <w:spacing w:after="40"/>
        <w:ind w:left="317"/>
      </w:pPr>
      <w:r>
        <w:t>Envía endpoint, campos, respuestas y errores, además de restricciones CORS/cookies si aplican. Revisa el mockup de acceso con Víctor; no construyas UI en paralelo.</w:t>
      </w:r>
    </w:p>
    <w:p>
      <w:pPr>
        <w:spacing w:after="100"/>
        <w:ind w:left="317"/>
      </w:pPr>
      <w:r>
        <w:rPr>
          <w:b/>
        </w:rPr>
        <w:t xml:space="preserve">Resultado verificable: </w:t>
      </w:r>
      <w:r>
        <w:t>Pantalla puede conectarse sin inventar estados.</w:t>
      </w:r>
    </w:p>
    <w:p>
      <w:pPr>
        <w:keepNext/>
        <w:spacing w:before="120" w:after="40"/>
      </w:pPr>
      <w:r>
        <w:rPr>
          <w:b/>
          <w:color w:val="53439B"/>
        </w:rPr>
        <w:t>7. Probar y entregar por PR</w:t>
      </w:r>
    </w:p>
    <w:p>
      <w:pPr>
        <w:keepLines/>
        <w:spacing w:after="40"/>
        <w:ind w:left="317"/>
      </w:pPr>
      <w:r>
        <w:t>Ejecuta pruebas de unidad e integración disponibles; documenta comandos, limitaciones y pasos. Abre PR a main, atiende revisión y corrige tu propia lógica.</w:t>
      </w:r>
    </w:p>
    <w:p>
      <w:pPr>
        <w:spacing w:after="100"/>
        <w:ind w:left="317"/>
      </w:pPr>
      <w:r>
        <w:rPr>
          <w:b/>
        </w:rPr>
        <w:t xml:space="preserve">Resultado verificable: </w:t>
      </w:r>
      <w:r>
        <w:t>Cambio auditable y probado por el dueño.</w:t>
      </w:r>
    </w:p>
    <w:p>
      <w:pPr>
        <w:pStyle w:val="Heading1"/>
      </w:pPr>
      <w:r>
        <w:t>Entregables para revisión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5040"/>
        <w:gridCol w:w="5040"/>
      </w:tblGrid>
      <w:tr>
        <w:trPr>
          <w:tblHeader w:val="true"/>
        </w:trPr>
        <w:tc>
          <w:tcPr>
            <w:tcW w:type="dxa" w:w="2232"/>
            <w:shd w:fill="23184E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Inter" w:hAnsi="Inter"/>
                <w:b/>
                <w:color w:val="FFFFFF"/>
                <w:sz w:val="18"/>
              </w:rPr>
              <w:t>Entregable</w:t>
            </w:r>
          </w:p>
        </w:tc>
        <w:tc>
          <w:tcPr>
            <w:tcW w:type="dxa" w:w="7128"/>
            <w:shd w:fill="23184E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Inter" w:hAnsi="Inter"/>
                <w:b/>
                <w:color w:val="FFFFFF"/>
                <w:sz w:val="18"/>
              </w:rPr>
              <w:t>Criterio de aceptación</w:t>
            </w:r>
          </w:p>
        </w:tc>
      </w:tr>
      <w:tr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Inter" w:hAnsi="Inter"/>
                <w:color w:val="191E2B"/>
                <w:sz w:val="18"/>
              </w:rPr>
              <w:t>IAM</w:t>
            </w:r>
          </w:p>
        </w:tc>
        <w:tc>
          <w:tcPr>
            <w:tcW w:type="dxa" w:w="71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Inter" w:hAnsi="Inter"/>
                <w:color w:val="191E2B"/>
                <w:sz w:val="18"/>
              </w:rPr>
              <w:t>Registro, login y comprobación de sesión según contrato.</w:t>
            </w:r>
          </w:p>
        </w:tc>
      </w:tr>
      <w:tr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8FB"/>
          </w:tcPr>
          <w:p>
            <w:pPr>
              <w:spacing w:after="20" w:line="252" w:lineRule="auto"/>
            </w:pPr>
            <w:r>
              <w:rPr>
                <w:rFonts w:ascii="Inter" w:hAnsi="Inter"/>
                <w:color w:val="191E2B"/>
                <w:sz w:val="18"/>
              </w:rPr>
              <w:t>Seguridad</w:t>
            </w:r>
          </w:p>
        </w:tc>
        <w:tc>
          <w:tcPr>
            <w:tcW w:type="dxa" w:w="71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8FB"/>
          </w:tcPr>
          <w:p>
            <w:pPr>
              <w:spacing w:after="20" w:line="252" w:lineRule="auto"/>
            </w:pPr>
            <w:r>
              <w:rPr>
                <w:rFonts w:ascii="Inter" w:hAnsi="Inter"/>
                <w:color w:val="191E2B"/>
                <w:sz w:val="18"/>
              </w:rPr>
              <w:t>Argon2id, rutas protegidas, permisos básicos y tenant derivado en backend.</w:t>
            </w:r>
          </w:p>
        </w:tc>
      </w:tr>
      <w:tr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Inter" w:hAnsi="Inter"/>
                <w:color w:val="191E2B"/>
                <w:sz w:val="18"/>
              </w:rPr>
              <w:t>Pruebas</w:t>
            </w:r>
          </w:p>
        </w:tc>
        <w:tc>
          <w:tcPr>
            <w:tcW w:type="dxa" w:w="71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Inter" w:hAnsi="Inter"/>
                <w:color w:val="191E2B"/>
                <w:sz w:val="18"/>
              </w:rPr>
              <w:t>Éxito, credenciales incorrectas, falta de sesión, rol y acceso entre tenants.</w:t>
            </w:r>
          </w:p>
        </w:tc>
      </w:tr>
      <w:tr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8FB"/>
          </w:tcPr>
          <w:p>
            <w:pPr>
              <w:spacing w:after="20" w:line="252" w:lineRule="auto"/>
            </w:pPr>
            <w:r>
              <w:rPr>
                <w:rFonts w:ascii="Inter" w:hAnsi="Inter"/>
                <w:color w:val="191E2B"/>
                <w:sz w:val="18"/>
              </w:rPr>
              <w:t>Integración</w:t>
            </w:r>
          </w:p>
        </w:tc>
        <w:tc>
          <w:tcPr>
            <w:tcW w:type="dxa" w:w="71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8FB"/>
          </w:tcPr>
          <w:p>
            <w:pPr>
              <w:spacing w:after="20" w:line="252" w:lineRule="auto"/>
            </w:pPr>
            <w:r>
              <w:rPr>
                <w:rFonts w:ascii="Inter" w:hAnsi="Inter"/>
                <w:color w:val="191E2B"/>
                <w:sz w:val="18"/>
              </w:rPr>
              <w:t>Ejemplos y estados de API para Víctor; pendientes MFA/recuperación identificados.</w:t>
            </w:r>
          </w:p>
        </w:tc>
      </w:tr>
    </w:tbl>
    <w:p>
      <w:pPr>
        <w:spacing w:after="20"/>
      </w:pPr>
    </w:p>
    <w:p>
      <w:pPr>
        <w:pStyle w:val="Heading1"/>
      </w:pPr>
      <w:r>
        <w:t>Calendario coordinado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5040"/>
        <w:gridCol w:w="5040"/>
      </w:tblGrid>
      <w:tr>
        <w:trPr>
          <w:tblHeader w:val="true"/>
        </w:trPr>
        <w:tc>
          <w:tcPr>
            <w:tcW w:type="dxa" w:w="1800"/>
            <w:shd w:fill="23184E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Inter" w:hAnsi="Inter"/>
                <w:b/>
                <w:color w:val="FFFFFF"/>
                <w:sz w:val="18"/>
              </w:rPr>
              <w:t>Fecha</w:t>
            </w:r>
          </w:p>
        </w:tc>
        <w:tc>
          <w:tcPr>
            <w:tcW w:type="dxa" w:w="7560"/>
            <w:shd w:fill="23184E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Inter" w:hAnsi="Inter"/>
                <w:b/>
                <w:color w:val="FFFFFF"/>
                <w:sz w:val="18"/>
              </w:rPr>
              <w:t>Trabajo y salida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Inter" w:hAnsi="Inter"/>
                <w:color w:val="191E2B"/>
                <w:sz w:val="18"/>
              </w:rPr>
              <w:t>29 sep</w:t>
            </w:r>
          </w:p>
        </w:tc>
        <w:tc>
          <w:tcPr>
            <w:tcW w:type="dxa" w:w="75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Inter" w:hAnsi="Inter"/>
                <w:color w:val="191E2B"/>
                <w:sz w:val="18"/>
              </w:rPr>
              <w:t>Leer repo y confirmar alcance y modelo IAM.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8FB"/>
          </w:tcPr>
          <w:p>
            <w:pPr>
              <w:spacing w:after="20" w:line="252" w:lineRule="auto"/>
            </w:pPr>
            <w:r>
              <w:rPr>
                <w:rFonts w:ascii="Inter" w:hAnsi="Inter"/>
                <w:color w:val="191E2B"/>
                <w:sz w:val="18"/>
              </w:rPr>
              <w:t>30 sep–1 oct</w:t>
            </w:r>
          </w:p>
        </w:tc>
        <w:tc>
          <w:tcPr>
            <w:tcW w:type="dxa" w:w="75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8FB"/>
          </w:tcPr>
          <w:p>
            <w:pPr>
              <w:spacing w:after="20" w:line="252" w:lineRule="auto"/>
            </w:pPr>
            <w:r>
              <w:rPr>
                <w:rFonts w:ascii="Inter" w:hAnsi="Inter"/>
                <w:color w:val="191E2B"/>
                <w:sz w:val="18"/>
              </w:rPr>
              <w:t>Acordar campos, sesión, errores y contrato con Víctor.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Inter" w:hAnsi="Inter"/>
                <w:color w:val="191E2B"/>
                <w:sz w:val="18"/>
              </w:rPr>
              <w:t>2–5 oct</w:t>
            </w:r>
          </w:p>
        </w:tc>
        <w:tc>
          <w:tcPr>
            <w:tcW w:type="dxa" w:w="75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Inter" w:hAnsi="Inter"/>
                <w:color w:val="191E2B"/>
                <w:sz w:val="18"/>
              </w:rPr>
              <w:t>Construir registro, hash y login.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8FB"/>
          </w:tcPr>
          <w:p>
            <w:pPr>
              <w:spacing w:after="20" w:line="252" w:lineRule="auto"/>
            </w:pPr>
            <w:r>
              <w:rPr>
                <w:rFonts w:ascii="Inter" w:hAnsi="Inter"/>
                <w:color w:val="191E2B"/>
                <w:sz w:val="18"/>
              </w:rPr>
              <w:t>6 oct</w:t>
            </w:r>
          </w:p>
        </w:tc>
        <w:tc>
          <w:tcPr>
            <w:tcW w:type="dxa" w:w="75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8FB"/>
          </w:tcPr>
          <w:p>
            <w:pPr>
              <w:spacing w:after="20" w:line="252" w:lineRule="auto"/>
            </w:pPr>
            <w:r>
              <w:rPr>
                <w:rFonts w:ascii="Inter" w:hAnsi="Inter"/>
                <w:color w:val="191E2B"/>
                <w:sz w:val="18"/>
              </w:rPr>
              <w:t>Añadir guardas, roles y tenant.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Inter" w:hAnsi="Inter"/>
                <w:color w:val="191E2B"/>
                <w:sz w:val="18"/>
              </w:rPr>
              <w:t>7 oct</w:t>
            </w:r>
          </w:p>
        </w:tc>
        <w:tc>
          <w:tcPr>
            <w:tcW w:type="dxa" w:w="75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Inter" w:hAnsi="Inter"/>
                <w:color w:val="191E2B"/>
                <w:sz w:val="18"/>
              </w:rPr>
              <w:t>Integrar con web; resolver defectos IAM.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8FB"/>
          </w:tcPr>
          <w:p>
            <w:pPr>
              <w:spacing w:after="20" w:line="252" w:lineRule="auto"/>
            </w:pPr>
            <w:r>
              <w:rPr>
                <w:rFonts w:ascii="Inter" w:hAnsi="Inter"/>
                <w:color w:val="191E2B"/>
                <w:sz w:val="18"/>
              </w:rPr>
              <w:t>8 oct</w:t>
            </w:r>
          </w:p>
        </w:tc>
        <w:tc>
          <w:tcPr>
            <w:tcW w:type="dxa" w:w="75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8FB"/>
          </w:tcPr>
          <w:p>
            <w:pPr>
              <w:spacing w:after="20" w:line="252" w:lineRule="auto"/>
            </w:pPr>
            <w:r>
              <w:rPr>
                <w:rFonts w:ascii="Inter" w:hAnsi="Inter"/>
                <w:color w:val="191E2B"/>
                <w:sz w:val="18"/>
              </w:rPr>
              <w:t>PR revisado, pruebas y documentación.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Inter" w:hAnsi="Inter"/>
                <w:color w:val="191E2B"/>
                <w:sz w:val="18"/>
              </w:rPr>
              <w:t>9 oct</w:t>
            </w:r>
          </w:p>
        </w:tc>
        <w:tc>
          <w:tcPr>
            <w:tcW w:type="dxa" w:w="75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Inter" w:hAnsi="Inter"/>
                <w:color w:val="191E2B"/>
                <w:sz w:val="18"/>
              </w:rPr>
              <w:t>Demostrar acceso y explicar limitaciones.</w:t>
            </w:r>
          </w:p>
        </w:tc>
      </w:tr>
    </w:tbl>
    <w:p>
      <w:pPr>
        <w:spacing w:after="20"/>
      </w:pPr>
    </w:p>
    <w:p>
      <w:pPr>
        <w:pStyle w:val="Heading1"/>
      </w:pPr>
      <w:r>
        <w:t>Lista de cierre</w:t>
      </w:r>
    </w:p>
    <w:p>
      <w:pPr>
        <w:pStyle w:val="ListBullet"/>
        <w:keepLines/>
        <w:spacing w:after="60"/>
      </w:pPr>
      <w:r>
        <w:t>☐ Las contraseñas nunca se guardan en texto claro.</w:t>
      </w:r>
    </w:p>
    <w:p>
      <w:pPr>
        <w:pStyle w:val="ListBullet"/>
        <w:keepLines/>
        <w:spacing w:after="60"/>
      </w:pPr>
      <w:r>
        <w:t>☐ Tokens y secretos no aparecen en logs ni mensajes de error.</w:t>
      </w:r>
    </w:p>
    <w:p>
      <w:pPr>
        <w:pStyle w:val="ListBullet"/>
        <w:keepLines/>
        <w:spacing w:after="60"/>
      </w:pPr>
      <w:r>
        <w:t>☐ El tenant se obtiene en backend desde identidad y membresía.</w:t>
      </w:r>
    </w:p>
    <w:p>
      <w:pPr>
        <w:pStyle w:val="ListBullet"/>
        <w:keepLines/>
        <w:spacing w:after="60"/>
      </w:pPr>
      <w:r>
        <w:t>☐ Pruebas cubren login y límites de autorización.</w:t>
      </w:r>
    </w:p>
    <w:p>
      <w:pPr>
        <w:pStyle w:val="ListBullet"/>
        <w:keepLines/>
        <w:spacing w:after="60"/>
      </w:pPr>
      <w:r>
        <w:t>☐ Los cambios compartidos están acordados y el PR está revisado.</w:t>
      </w:r>
    </w:p>
    <w:p>
      <w:pPr>
        <w:pStyle w:val="Heading1"/>
      </w:pPr>
      <w:r>
        <w:t>Cómo avanzar mientras aprendes</w:t>
      </w:r>
    </w:p>
    <w:p>
      <w:r>
        <w:t>Aprende en orden: DTO y validación, servicio de autenticación, hashing Argon2id, guardas y pruebas HTTP. Trabaja con las versiones ya instaladas y la documentación oficial correspondiente. Antes de añadir un paquete, justifica la necesidad y coordina.</w:t>
      </w:r>
    </w:p>
    <w:p>
      <w:pPr>
        <w:pStyle w:val="Heading1"/>
      </w:pPr>
      <w:r>
        <w:t>Reglas comunes para evitar choques</w:t>
      </w:r>
    </w:p>
    <w:p>
      <w:pPr>
        <w:pStyle w:val="ListBullet"/>
        <w:keepLines/>
        <w:spacing w:after="60"/>
      </w:pPr>
      <w:r>
        <w:t>Trabaja en tu módulo y rama asignados; entrega un pull request hacia main y no integres directamente.</w:t>
      </w:r>
    </w:p>
    <w:p>
      <w:pPr>
        <w:pStyle w:val="ListBullet"/>
        <w:keepLines/>
        <w:spacing w:after="60"/>
      </w:pPr>
      <w:r>
        <w:t>Lee las reglas, el contrato y el registro de módulos antes de editar. No cambies en silencio archivos o contratos compartidos.</w:t>
      </w:r>
    </w:p>
    <w:p>
      <w:pPr>
        <w:pStyle w:val="ListBullet"/>
        <w:keepLines/>
        <w:spacing w:after="60"/>
      </w:pPr>
      <w:r>
        <w:t>Antes de tocar un archivo compartido, coordina con Víctor y el dueño afectado; registra acuerdos nuevos en SESSION_LOG.md.</w:t>
      </w:r>
    </w:p>
    <w:p>
      <w:pPr>
        <w:pStyle w:val="ListBullet"/>
        <w:keepLines/>
        <w:spacing w:after="60"/>
      </w:pPr>
      <w:r>
        <w:t>Usa datos de desarrollo. No subas secretos, contraseñas, tokens, credenciales ni archivos reales.</w:t>
      </w:r>
    </w:p>
    <w:p>
      <w:pPr>
        <w:pStyle w:val="ListBullet"/>
        <w:keepLines/>
        <w:spacing w:after="60"/>
      </w:pPr>
      <w:r>
        <w:t>Figma define la apariencia; frontend usa Inter y la paleta de docs/IDENTIDAD_VISUAL.md. Marca como pendiente cualquier frame no cotejado.</w:t>
      </w:r>
    </w:p>
    <w:sectPr w:rsidR="00FC693F" w:rsidRPr="0006063C" w:rsidSect="00034616">
      <w:footerReference w:type="default" r:id="rId9"/>
      <w:pgSz w:w="12240" w:h="15840"/>
      <w:pgMar w:top="979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Inter" w:hAnsi="Inter"/>
        <w:color w:val="687083"/>
        <w:sz w:val="16"/>
      </w:rPr>
      <w:t xml:space="preserve">NEXUS  |  Ingeniería de Software I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Inter" w:hAnsi="Inter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Inter" w:hAnsi="Inter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Inter" w:hAnsi="Inter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Inter" w:hAnsi="Inter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trabajo de Sebastián</dc:title>
  <dc:subject>Nexus - avance funcional 50%</dc:subject>
  <dc:creator>Equipo Nexus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