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53439B"/>
          <w:sz w:val="18"/>
        </w:rPr>
        <w:t>NEXUS  /  PLAN INDIVIDUAL DE TRABAJO</w:t>
      </w:r>
    </w:p>
    <w:p>
      <w:pPr>
        <w:pStyle w:val="Title"/>
      </w:pPr>
      <w:r>
        <w:t>Plan de trabajo de Víctor</w:t>
      </w:r>
    </w:p>
    <w:p>
      <w:pPr>
        <w:spacing w:after="160"/>
      </w:pPr>
      <w:r>
        <w:rPr>
          <w:color w:val="687083"/>
          <w:sz w:val="18"/>
        </w:rPr>
        <w:t>Cristóbal Víctor Chán Morales  |  Integración, arquitectura y frontend común  |  Horizonte: 29 de septiembre al 9 de octubre de 2026</w:t>
      </w:r>
    </w:p>
    <w:p>
      <w:r>
        <w:t>Tu responsabilidad para el avance del 50% del 9 de octubre es preparar el entorno ejecutable, fijar interfaces compartidas, mantener la experiencia web común e integrar IAM, Files/Storage y Billing. Los dueños de cada módulo implementan su lógica de API; tú la conectas y no la reescribes.</w:t>
      </w:r>
    </w:p>
    <w:p>
      <w:pPr>
        <w:pStyle w:val="Heading1"/>
      </w:pPr>
      <w:r>
        <w:t>Resultado esperado</w:t>
      </w:r>
    </w:p>
    <w:p>
      <w:r>
        <w:t>El equipo puede arrancar el proyecto y demostrar registro e inicio de sesión, plan de prueba, dashboard, carpeta y carga/descarga de un archivo. Lo que no esté implementado se identifica como pendiente; no se presenta una simulación como operación real.</w:t>
      </w:r>
    </w:p>
    <w:p>
      <w:pPr>
        <w:pStyle w:val="Heading1"/>
      </w:pPr>
      <w:r>
        <w:t>Responsabilidades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Te corresponde</w:t>
            </w:r>
          </w:p>
        </w:tc>
        <w:tc>
          <w:tcPr>
            <w:tcW w:type="dxa" w:w="468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No te corresponde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Repositorio y configuración común, scripts y Docker Compose.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reescribes lógica de IAM, Files/Storage o Billing ni resuelves defectos ajenos sin el dueño.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Contrato de integración, orden de incorporación de módulos y documentación de bloqueos.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cambias reglas, esquema o contrato compartido después de su consumo sin proponerlo y avisar a todos.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Frontend común: layout, navegación, tokens y pantallas conforme a la propiedad vigente del registro ENTS_REGISTRY.md.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No declaras aprobada una pantalla sin compararla con Figma; anotas lo que falte.</w:t>
            </w:r>
          </w:p>
        </w:tc>
      </w:tr>
    </w:tbl>
    <w:p>
      <w:pPr>
        <w:spacing w:after="20"/>
      </w:pPr>
    </w:p>
    <w:p>
      <w:pPr>
        <w:pStyle w:val="Heading1"/>
      </w:pPr>
      <w:r>
        <w:t>Ruta paso a paso</w:t>
      </w:r>
    </w:p>
    <w:p>
      <w:pPr>
        <w:keepNext/>
        <w:spacing w:before="120" w:after="40"/>
      </w:pPr>
      <w:r>
        <w:rPr>
          <w:b/>
          <w:color w:val="53439B"/>
        </w:rPr>
        <w:t>1. Inspeccionar y levantar el repositorio</w:t>
      </w:r>
    </w:p>
    <w:p>
      <w:pPr>
        <w:keepLines/>
        <w:spacing w:after="40"/>
        <w:ind w:left="317"/>
      </w:pPr>
      <w:r>
        <w:t>Lee README, SYSTEM_PROMPT, ARCHITECTURE, BUSINESS_RULES, CONTRACTS, ENTS_REGISTRY y docs/IDENTIDAD_VISUAL.md. Sigue el arranque documentado, registra errores y crea feature/victor/integration-mvp.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Commit/PR de diagnóstico y lista concreta de bloqueos.</w:t>
      </w:r>
    </w:p>
    <w:p>
      <w:pPr>
        <w:keepNext/>
        <w:spacing w:before="120" w:after="40"/>
      </w:pPr>
      <w:r>
        <w:rPr>
          <w:b/>
          <w:color w:val="53439B"/>
        </w:rPr>
        <w:t>2. Acordar el contrato de integración</w:t>
      </w:r>
    </w:p>
    <w:p>
      <w:pPr>
        <w:keepLines/>
        <w:spacing w:after="40"/>
        <w:ind w:left="317"/>
      </w:pPr>
      <w:r>
        <w:t>Con Sebastián, Miguel y Anthony confirma el recorrido, campos, respuestas, errores y estados. Aclara cómo se deriva la organización autorizada desde sesión; acuerda con Anthony la cuota y con Miguel cómo se aplica. Actualiza CONTRACTS.md solo con acuerdos.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Interfaces consumibles por todos, sin campos inventados.</w:t>
      </w:r>
    </w:p>
    <w:p>
      <w:pPr>
        <w:keepNext/>
        <w:spacing w:before="120" w:after="40"/>
      </w:pPr>
      <w:r>
        <w:rPr>
          <w:b/>
          <w:color w:val="53439B"/>
        </w:rPr>
        <w:t>3. Dejar el entorno reproducible</w:t>
      </w:r>
    </w:p>
    <w:p>
      <w:pPr>
        <w:keepLines/>
        <w:spacing w:after="40"/>
        <w:ind w:left="317"/>
      </w:pPr>
      <w:r>
        <w:t>Verifica scripts, Compose, PostgreSQL, MinIO y .env.example. Documenta inicio, parada y reinicio. No guardes credenciales reales; coordina migraciones compartidas.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Un compañero puede arrancar desde cero siguiendo README.</w:t>
      </w:r>
    </w:p>
    <w:p>
      <w:pPr>
        <w:keepNext/>
        <w:spacing w:before="120" w:after="40"/>
      </w:pPr>
      <w:r>
        <w:rPr>
          <w:b/>
          <w:color w:val="53439B"/>
        </w:rPr>
        <w:t>4. Construir la base visual común</w:t>
      </w:r>
    </w:p>
    <w:p>
      <w:pPr>
        <w:keepLines/>
        <w:spacing w:after="40"/>
        <w:ind w:left="317"/>
      </w:pPr>
      <w:r>
        <w:t>Crea layout, navegación, componentes y pantallas frontend que indique ENTS_REGISTRY.md. Aplica Inter y tokens CSS de docs/IDENTIDAD_VISUAL.md. Actualiza docs/FIGMA_MAP.md con ruta, dueño, frame y estado.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Pantallas coherentes con Figma disponible y fuentes/colores comunes.</w:t>
      </w:r>
    </w:p>
    <w:p>
      <w:pPr>
        <w:keepNext/>
        <w:spacing w:before="120" w:after="40"/>
      </w:pPr>
      <w:r>
        <w:rPr>
          <w:b/>
          <w:color w:val="53439B"/>
        </w:rPr>
        <w:t>5. Integrar PRs en orden</w:t>
      </w:r>
    </w:p>
    <w:p>
      <w:pPr>
        <w:keepLines/>
        <w:spacing w:after="40"/>
        <w:ind w:left="317"/>
      </w:pPr>
      <w:r>
        <w:t>Revisa primero IAM; luego Billing y cuota; después Files/Storage; finalmente ejecuta el flujo completo. Confirma tipos, errores, tenant y datos demo. Devuelve al dueño defectos reproducibles para que él los corrija.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Cambios integrados mediante PR con propietario de cada corrección.</w:t>
      </w:r>
    </w:p>
    <w:p>
      <w:pPr>
        <w:keepNext/>
        <w:spacing w:before="120" w:after="40"/>
      </w:pPr>
      <w:r>
        <w:rPr>
          <w:b/>
          <w:color w:val="53439B"/>
        </w:rPr>
        <w:t>6. Ejecutar aceptación del recorrido</w:t>
      </w:r>
    </w:p>
    <w:p>
      <w:pPr>
        <w:keepLines/>
        <w:spacing w:after="40"/>
        <w:ind w:left="317"/>
      </w:pPr>
      <w:r>
        <w:t>Prueba registro, login, selección simulada, dashboard, carpeta, carga y descarga. Revisa sesión ausente, límite excedido y acceso entre organizaciones según alcance. Escribe comandos y resultados reales.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Guía para repetir la demo y lista de pendientes con responsable.</w:t>
      </w:r>
    </w:p>
    <w:p>
      <w:pPr>
        <w:keepNext/>
        <w:spacing w:before="120" w:after="40"/>
      </w:pPr>
      <w:r>
        <w:rPr>
          <w:b/>
          <w:color w:val="53439B"/>
        </w:rPr>
        <w:t>7. Preparar entrega y demostración</w:t>
      </w:r>
    </w:p>
    <w:p>
      <w:pPr>
        <w:keepLines/>
        <w:spacing w:after="40"/>
        <w:ind w:left="317"/>
      </w:pPr>
      <w:r>
        <w:t>El 8 de octubre congela candidata, actualiza README, mapa Figma y SESSION_LOG. El 9 demuestra el sistema con datos ficticios y explica decisiones y limitaciones.</w:t>
      </w:r>
    </w:p>
    <w:p>
      <w:pPr>
        <w:spacing w:after="100"/>
        <w:ind w:left="317"/>
      </w:pPr>
      <w:r>
        <w:rPr>
          <w:b/>
        </w:rPr>
        <w:t xml:space="preserve">Resultado verificable: </w:t>
      </w:r>
      <w:r>
        <w:t>Versión candidata ejecutable y demostración honesta.</w:t>
      </w:r>
    </w:p>
    <w:p>
      <w:pPr>
        <w:pStyle w:val="Heading1"/>
      </w:pPr>
      <w:r>
        <w:t>Entregables para revisión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7128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Contrato y bitácora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CONTRACTS.md con interfaces confirmadas; SESSION_LOG.md con acuerdos y bloqueos.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Entorno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README reproducible, Compose probado y valores de ejemplo sin secretos reales.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Web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Layout, navegación y pantallas según registro de propietarios y referencias de Figma.</w:t>
            </w:r>
          </w:p>
        </w:tc>
      </w:tr>
      <w:t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Integración</w:t>
            </w:r>
          </w:p>
        </w:tc>
        <w:tc>
          <w:tcPr>
            <w:tcW w:type="dxa" w:w="71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Recorrido probado, instrucciones de demo y pendientes asignados.</w:t>
            </w:r>
          </w:p>
        </w:tc>
      </w:tr>
    </w:tbl>
    <w:p>
      <w:pPr>
        <w:spacing w:after="20"/>
      </w:pPr>
    </w:p>
    <w:p>
      <w:pPr>
        <w:pStyle w:val="Heading1"/>
      </w:pPr>
      <w:r>
        <w:t>Calendario coordinado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0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560"/>
            <w:shd w:fill="23184E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8"/>
              </w:rPr>
              <w:t>Trabajo y salida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29 sep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Leer el repo y acordar alcance; levantar bloqueos antes de programar.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30 sep–1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Acordar contratos, campos, estados, modelo y entorno común.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2–5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Desarrollo por módulo; compartir avances pequeños que se puedan ejecutar.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6–7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Integración y pruebas entre dominios; cada dueño corrige su propia lógica.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8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Candidata de demostración, PRs revisados y guías de prueba.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9 oct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8FB"/>
          </w:tcPr>
          <w:p>
            <w:pPr>
              <w:spacing w:after="20" w:line="252" w:lineRule="auto"/>
            </w:pPr>
            <w:r>
              <w:rPr>
                <w:rFonts w:ascii="Inter" w:hAnsi="Inter"/>
                <w:color w:val="191E2B"/>
                <w:sz w:val="18"/>
              </w:rPr>
              <w:t>Demostrar alcance real del 50% y registrar pendientes.</w:t>
            </w:r>
          </w:p>
        </w:tc>
      </w:tr>
    </w:tbl>
    <w:p>
      <w:pPr>
        <w:spacing w:after="20"/>
      </w:pPr>
    </w:p>
    <w:p>
      <w:pPr>
        <w:pStyle w:val="Heading1"/>
      </w:pPr>
      <w:r>
        <w:t>Lista de cierre</w:t>
      </w:r>
    </w:p>
    <w:p>
      <w:pPr>
        <w:pStyle w:val="ListBullet"/>
        <w:keepLines/>
        <w:spacing w:after="60"/>
      </w:pPr>
      <w:r>
        <w:t>☐ El arranque se repite en una instalación limpia con instrucciones del repositorio.</w:t>
      </w:r>
    </w:p>
    <w:p>
      <w:pPr>
        <w:pStyle w:val="ListBullet"/>
        <w:keepLines/>
        <w:spacing w:after="60"/>
      </w:pPr>
      <w:r>
        <w:t>☐ Todos entienden los contratos y sus estados pendientes.</w:t>
      </w:r>
    </w:p>
    <w:p>
      <w:pPr>
        <w:pStyle w:val="ListBullet"/>
        <w:keepLines/>
        <w:spacing w:after="60"/>
      </w:pPr>
      <w:r>
        <w:t>☐ La UI usa Inter y paleta común; cada pantalla se coteja con su frame cuando existe.</w:t>
      </w:r>
    </w:p>
    <w:p>
      <w:pPr>
        <w:pStyle w:val="ListBullet"/>
        <w:keepLines/>
        <w:spacing w:after="60"/>
      </w:pPr>
      <w:r>
        <w:t>☐ Registro, login, plan demo, dashboard, carpeta y transferencia se prueban en orden.</w:t>
      </w:r>
    </w:p>
    <w:p>
      <w:pPr>
        <w:pStyle w:val="ListBullet"/>
        <w:keepLines/>
        <w:spacing w:after="60"/>
      </w:pPr>
      <w:r>
        <w:t>☐ Autorización tenant se valida en backend y no se reporta éxito falso.</w:t>
      </w:r>
    </w:p>
    <w:p>
      <w:pPr>
        <w:pStyle w:val="Heading1"/>
      </w:pPr>
      <w:r>
        <w:t>Cómo avanzar mientras aprendes</w:t>
      </w:r>
    </w:p>
    <w:p>
      <w:r>
        <w:t>Aprende por tarea: App Router, TypeScript, componentes y tokens CSS en la pantalla que vas a terminar; Docker Compose al probar el entorno. Pide a cada dueño una respuesta real de su API. Cierra cada sesión con un cambio pequeño y un commit revisable.</w:t>
      </w:r>
    </w:p>
    <w:p>
      <w:pPr>
        <w:pStyle w:val="Heading1"/>
      </w:pPr>
      <w:r>
        <w:t>Reglas comunes para evitar choques</w:t>
      </w:r>
    </w:p>
    <w:p>
      <w:pPr>
        <w:pStyle w:val="ListBullet"/>
        <w:keepLines/>
        <w:spacing w:after="60"/>
      </w:pPr>
      <w:r>
        <w:t>Trabaja en tu módulo y rama asignados; entrega un pull request hacia main y no integres directamente.</w:t>
      </w:r>
    </w:p>
    <w:p>
      <w:pPr>
        <w:pStyle w:val="ListBullet"/>
        <w:keepLines/>
        <w:spacing w:after="60"/>
      </w:pPr>
      <w:r>
        <w:t>Lee las reglas, el contrato y el registro de módulos antes de editar. No cambies en silencio archivos o contratos compartidos.</w:t>
      </w:r>
    </w:p>
    <w:p>
      <w:pPr>
        <w:pStyle w:val="ListBullet"/>
        <w:keepLines/>
        <w:spacing w:after="60"/>
      </w:pPr>
      <w:r>
        <w:t>Antes de tocar un archivo compartido, coordina con Víctor y el dueño afectado; registra acuerdos nuevos en SESSION_LOG.md.</w:t>
      </w:r>
    </w:p>
    <w:p>
      <w:pPr>
        <w:pStyle w:val="ListBullet"/>
        <w:keepLines/>
        <w:spacing w:after="60"/>
      </w:pPr>
      <w:r>
        <w:t>Usa datos de desarrollo. No subas secretos, contraseñas, tokens, credenciales ni archivos reales.</w:t>
      </w:r>
    </w:p>
    <w:p>
      <w:pPr>
        <w:pStyle w:val="ListBullet"/>
        <w:keepLines/>
        <w:spacing w:after="60"/>
      </w:pPr>
      <w:r>
        <w:t>Figma define la apariencia; frontend usa Inter y la paleta de docs/IDENTIDAD_VISUAL.md. Marca como pendiente cualquier frame no cotejado.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687083"/>
        <w:sz w:val="16"/>
      </w:rPr>
      <w:t xml:space="preserve">NEXUS  |  Ingeniería de Software 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Inter" w:hAnsi="Inte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 Víctor</dc:title>
  <dc:subject>Nexus - avance funcional 50%</dc:subject>
  <dc:creator>Equipo Nexus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