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Northgate Advisory Q2 board memo</w:t>
      </w:r>
    </w:p>
    <w:p>
      <w:r>
        <w:rPr>
          <w:i/>
          <w:iCs/>
        </w:rPr>
        <w:t xml:space="preserve">Prepared for the board, 22 September 2026. </w:t>
      </w:r>
      <w:r>
        <w:rPr>
          <w:b/>
          <w:bCs/>
        </w:rPr>
        <w:t xml:space="preserve">Draft for review.</w:t>
      </w:r>
    </w:p>
    <w:p>
      <w:pPr>
        <w:pStyle w:val="Heading1"/>
      </w:pPr>
      <w:r>
        <w:t xml:space="preserve">1. Summary</w:t>
      </w:r>
    </w:p>
    <w:p>
      <w:pPr>
        <w:jc w:val="both"/>
      </w:pPr>
      <w:r>
        <w:t xml:space="preserve">Q2 delivered €10.58m of won business against a €10.5m target, level with Q1 once the Helix one-off is removed and 51.9% ahead of Q4. Deal count rose and average ticket fell; the win rate slipped for a third quarter.</w:t>
      </w:r>
    </w:p>
    <w:p>
      <w:pPr>
        <w:pStyle w:val="Heading1"/>
      </w:pPr>
      <w:r>
        <w:t xml:space="preserve">2. The quarter in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Measure</w:t>
            </w:r>
          </w:p>
        </w:tc>
        <w:tc>
          <w:p>
            <w:r>
              <w:rPr>
                <w:b/>
                <w:bCs/>
              </w:rPr>
              <w:t xml:space="preserve">Q2</w:t>
            </w:r>
          </w:p>
        </w:tc>
        <w:tc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Won business</w:t>
            </w:r>
          </w:p>
        </w:tc>
        <w:tc>
          <w:p>
            <w:r>
              <w:rPr>
                <w:b w:val="false"/>
                <w:bCs w:val="false"/>
              </w:rPr>
              <w:t xml:space="preserve">€10.58m</w:t>
            </w:r>
          </w:p>
        </w:tc>
        <w:tc>
          <w:p>
            <w:r>
              <w:rPr>
                <w:b w:val="false"/>
                <w:bCs w:val="false"/>
              </w:rPr>
              <w:t xml:space="preserve">100.7% of target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Deals won</w:t>
            </w:r>
          </w:p>
        </w:tc>
        <w:tc>
          <w:p>
            <w:r>
              <w:rPr>
                <w:b w:val="false"/>
                <w:bCs w:val="false"/>
              </w:rPr>
              <w:t xml:space="preserve">143</w:t>
            </w:r>
          </w:p>
        </w:tc>
        <w:tc>
          <w:p>
            <w:r>
              <w:rPr>
                <w:b w:val="false"/>
                <w:bCs w:val="false"/>
              </w:rPr>
              <w:t xml:space="preserve">average €74k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Win rate</w:t>
            </w:r>
          </w:p>
        </w:tc>
        <w:tc>
          <w:p>
            <w:r>
              <w:rPr>
                <w:b w:val="false"/>
                <w:bCs w:val="false"/>
              </w:rPr>
              <w:t xml:space="preserve">45%</w:t>
            </w:r>
          </w:p>
        </w:tc>
        <w:tc>
          <w:p>
            <w:r>
              <w:rPr>
                <w:b w:val="false"/>
                <w:bCs w:val="false"/>
              </w:rPr>
              <w:t xml:space="preserve">of deals</w:t>
            </w:r>
          </w:p>
        </w:tc>
      </w:tr>
    </w:tbl>
    <w:p/>
    <w:p>
      <w:pPr>
        <w:pStyle w:val="Heading1"/>
      </w:pPr>
      <w:r>
        <w:t xml:space="preserve">3. What changed</w:t>
      </w:r>
    </w:p>
    <w:p>
      <w:pPr>
        <w:pStyle w:val="ListParagraph"/>
        <w:numPr>
          <w:ilvl w:val="0"/>
          <w:numId w:val="1"/>
        </w:numPr>
      </w:pPr>
      <w:r>
        <w:t xml:space="preserve">Mid-market and public sector carried the quarter.</w:t>
      </w:r>
    </w:p>
    <w:p>
      <w:pPr>
        <w:pStyle w:val="ListParagraph"/>
        <w:numPr>
          <w:ilvl w:val="0"/>
          <w:numId w:val="1"/>
        </w:numPr>
      </w:pPr>
      <w:r>
        <w:t xml:space="preserve">Enterprise losses grew faster than wins.</w:t>
      </w:r>
    </w:p>
    <w:p>
      <w:pPr>
        <w:pStyle w:val="ListParagraph"/>
        <w:numPr>
          <w:ilvl w:val="0"/>
          <w:numId w:val="1"/>
        </w:numPr>
      </w:pPr>
      <w:r>
        <w:t xml:space="preserve">More than half of the Q3 pipeline is older than 90 days.</w:t>
      </w:r>
    </w:p>
    <w:p>
      <w:pPr>
        <w:pStyle w:val="Heading1"/>
      </w:pPr>
      <w:r>
        <w:t xml:space="preserve">4. Recommendations</w:t>
      </w:r>
    </w:p>
    <w:p>
      <w:r>
        <w:t xml:space="preserve">1. Re-qualify every pipeline item older than 90 days.</w:t>
      </w:r>
    </w:p>
    <w:p>
      <w:r>
        <w:t xml:space="preserve">2. Move two enterprise sellers to mid-market for the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tools/office-fixtures</dc:creator>
  <cp:lastModifiedBy>Un-named</cp:lastModifiedBy>
  <cp:revision>1</cp:revision>
  <dcterms:created xsi:type="dcterms:W3CDTF">2026-09-16T19:41:43.361Z</dcterms:created>
  <dcterms:modified xsi:type="dcterms:W3CDTF">2026-09-16T19:41:43.389Z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