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Northgate Advisory Q2 2026 board memo</w:t>
      </w:r>
    </w:p>
    <w:p>
      <w:r>
        <w:rPr>
          <w:i/>
          <w:iCs/>
        </w:rPr>
        <w:t xml:space="preserve">Prepared for the board of directors, 22 September 2026. </w:t>
      </w:r>
      <w:r>
        <w:rPr>
          <w:b/>
          <w:bCs/>
        </w:rPr>
        <w:t xml:space="preserve">Draft for review.</w:t>
      </w:r>
    </w:p>
    <w:p>
      <w:pPr>
        <w:pStyle w:val="Heading1"/>
      </w:pPr>
      <w:r>
        <w:t xml:space="preserve">1. Summary</w:t>
      </w:r>
    </w:p>
    <w:p>
      <w:pPr>
        <w:jc w:val="both"/>
      </w:pPr>
      <w:r>
        <w:t xml:space="preserve">Q2 delivered €10.58m of won business against a €10.5m target, level with Q1 once the Helix one-off is removed and 51.9% ahead of Q4 2025. Deal count rose and average ticket fell; the win rate slipped for a third quarter.</w:t>
      </w:r>
    </w:p>
    <w:p>
      <w:pPr>
        <w:pStyle w:val="Heading1"/>
      </w:pPr>
      <w:r>
        <w:t xml:space="preserve">2. The quarter in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Measure</w:t>
            </w:r>
          </w:p>
        </w:tc>
        <w:tc>
          <w:p>
            <w:r>
              <w:rPr>
                <w:b/>
                <w:bCs/>
              </w:rPr>
              <w:t xml:space="preserve">Q2 2026</w:t>
            </w:r>
          </w:p>
        </w:tc>
        <w:tc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Won business</w:t>
            </w:r>
          </w:p>
        </w:tc>
        <w:tc>
          <w:p>
            <w:r>
              <w:rPr>
                <w:b w:val="false"/>
                <w:bCs w:val="false"/>
              </w:rPr>
              <w:t xml:space="preserve">€10.58m</w:t>
            </w:r>
          </w:p>
        </w:tc>
        <w:tc>
          <w:p>
            <w:r>
              <w:rPr>
                <w:b w:val="false"/>
                <w:bCs w:val="false"/>
              </w:rPr>
              <w:t xml:space="preserve">100.7% of target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vs Q1 2026 (reported)</w:t>
            </w:r>
          </w:p>
        </w:tc>
        <w:tc>
          <w:p>
            <w:r>
              <w:rPr>
                <w:b w:val="false"/>
                <w:bCs w:val="false"/>
              </w:rPr>
              <w:t xml:space="preserve">−7.0%</w:t>
            </w:r>
          </w:p>
        </w:tc>
        <w:tc>
          <w:p>
            <w:r>
              <w:rPr>
                <w:b w:val="false"/>
                <w:bCs w:val="false"/>
              </w:rPr>
              <w:t xml:space="preserve">−1.4% without the €640k Helix one-off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Deals won</w:t>
            </w:r>
          </w:p>
        </w:tc>
        <w:tc>
          <w:p>
            <w:r>
              <w:rPr>
                <w:b w:val="false"/>
                <w:bCs w:val="false"/>
              </w:rPr>
              <w:t xml:space="preserve">143</w:t>
            </w:r>
          </w:p>
        </w:tc>
        <w:tc>
          <w:p>
            <w:r>
              <w:rPr>
                <w:b w:val="false"/>
                <w:bCs w:val="false"/>
              </w:rPr>
              <w:t xml:space="preserve">avg €74k; Q1 was 131 at €87k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Win rate</w:t>
            </w:r>
          </w:p>
        </w:tc>
        <w:tc>
          <w:p>
            <w:r>
              <w:rPr>
                <w:b w:val="false"/>
                <w:bCs w:val="false"/>
              </w:rPr>
              <w:t xml:space="preserve">45% / 42.5%</w:t>
            </w:r>
          </w:p>
        </w:tc>
        <w:tc>
          <w:p>
            <w:r>
              <w:rPr>
                <w:b w:val="false"/>
                <w:bCs w:val="false"/>
              </w:rPr>
              <w:t xml:space="preserve">of deals / of value</w:t>
            </w:r>
          </w:p>
        </w:tc>
      </w:tr>
    </w:tbl>
    <w:p/>
    <w:p>
      <w:pPr>
        <w:pStyle w:val="Heading1"/>
      </w:pPr>
      <w:r>
        <w:t xml:space="preserve">3. What changed</w:t>
      </w:r>
    </w:p>
    <w:p>
      <w:pPr>
        <w:pStyle w:val="ListParagraph"/>
        <w:numPr>
          <w:ilvl w:val="0"/>
          <w:numId w:val="1"/>
        </w:numPr>
      </w:pPr>
      <w:r>
        <w:t xml:space="preserve">Mid-market and public sector carried the quarter.</w:t>
      </w:r>
    </w:p>
    <w:p>
      <w:pPr>
        <w:pStyle w:val="ListParagraph"/>
        <w:numPr>
          <w:ilvl w:val="0"/>
          <w:numId w:val="1"/>
        </w:numPr>
      </w:pPr>
      <w:r>
        <w:t xml:space="preserve">Enterprise losses grew faster than wins, concentrated in two accounts.</w:t>
      </w:r>
    </w:p>
    <w:p>
      <w:pPr>
        <w:pStyle w:val="ListParagraph"/>
        <w:numPr>
          <w:ilvl w:val="0"/>
          <w:numId w:val="1"/>
        </w:numPr>
      </w:pPr>
      <w:r>
        <w:t xml:space="preserve">More than half of the Q3 pipeline is older than 90 days.</w:t>
      </w:r>
    </w:p>
    <w:p>
      <w:pPr>
        <w:pStyle w:val="Heading2"/>
      </w:pPr>
      <w:r>
        <w:t xml:space="preserve">3.1 Segments</w:t>
      </w:r>
    </w:p>
    <w:p>
      <w:r>
        <w:t xml:space="preserve">Mid-market won €4.1m at a 52% win rate; public sector €3.2m at 61%; enterprise €3.3m at 31%. The enterprise figure is the one to watch: three of the five largest losses were to the same competitor on price.</w:t>
      </w:r>
    </w:p>
    <w:p>
      <w:pPr>
        <w:pStyle w:val="Heading1"/>
      </w:pPr>
      <w:r>
        <w:t xml:space="preserve">4. Recommendations</w:t>
      </w:r>
    </w:p>
    <w:p>
      <w:r>
        <w:t xml:space="preserve">1. Re-qualify every pipeline item older than 90 days before the Q3 forecast.</w:t>
      </w:r>
    </w:p>
    <w:p>
      <w:r>
        <w:t xml:space="preserve">2. Move two enterprise sellers to mid-market for the quarter.</w:t>
      </w:r>
    </w:p>
    <w:p>
      <w:r>
        <w:t xml:space="preserve">3. Hold the Q3 target at €12.5m and report the weighted pipeline beside it.</w:t>
      </w:r>
    </w:p>
    <w:p>
      <w:pPr>
        <w:jc w:val="left"/>
      </w:pPr>
      <w:r>
        <w:rPr>
          <w:color w:val="666666"/>
          <w:sz w:val="18"/>
          <w:szCs w:val="18"/>
        </w:rPr>
        <w:t xml:space="preserve">All figures in EUR; GBP contracts converted at 1 EUR = 0.86 GBP. Source: CRM export of 14 September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make-fixtures.mjs</dc:creator>
  <cp:lastModifiedBy>Un-named</cp:lastModifiedBy>
  <cp:revision>1</cp:revision>
  <dcterms:created xsi:type="dcterms:W3CDTF">2026-09-16T16:20:21.646Z</dcterms:created>
  <dcterms:modified xsi:type="dcterms:W3CDTF">2026-09-16T16:20:21.651Z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