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d6sxofpl0e1" w:id="0"/>
      <w:bookmarkEnd w:id="0"/>
      <w:r w:rsidDel="00000000" w:rsidR="00000000" w:rsidRPr="00000000">
        <w:rPr>
          <w:rtl w:val="0"/>
        </w:rPr>
        <w:t xml:space="preserve">UNIVERSIDAD TECNOLÓGICA DE DURANGO</w:t>
      </w:r>
    </w:p>
    <w:p w:rsidR="00000000" w:rsidDel="00000000" w:rsidP="00000000" w:rsidRDefault="00000000" w:rsidRPr="00000000" w14:paraId="00000002">
      <w:pPr>
        <w:pStyle w:val="Heading2"/>
        <w:rPr/>
      </w:pPr>
      <w:bookmarkStart w:colFirst="0" w:colLast="0" w:name="_1o2931n1l8f1" w:id="1"/>
      <w:bookmarkEnd w:id="1"/>
      <w:r w:rsidDel="00000000" w:rsidR="00000000" w:rsidRPr="00000000">
        <w:rPr>
          <w:rtl w:val="0"/>
        </w:rPr>
        <w:t xml:space="preserve">TÉCNICO SUPERIOR UNIVERSITARIO EN TECNOLOGÍAS DE LA INFORMACIÓN</w:t>
      </w:r>
    </w:p>
    <w:p w:rsidR="00000000" w:rsidDel="00000000" w:rsidP="00000000" w:rsidRDefault="00000000" w:rsidRPr="00000000" w14:paraId="00000003">
      <w:pPr>
        <w:rPr/>
      </w:pPr>
      <w:r w:rsidDel="00000000" w:rsidR="00000000" w:rsidRPr="00000000">
        <w:rPr>
          <w:b w:val="1"/>
          <w:bCs w:val="1"/>
          <w:rtl w:val="0"/>
        </w:rPr>
        <w:t xml:space="preserve">Proyecto Integrador I (E-PIN1-1) - Cuatrimestre IV (Septiembre-Diciembre 2026)</w:t>
      </w:r>
      <w:r w:rsidDel="00000000" w:rsidR="00000000" w:rsidRPr="00000000">
        <w:rPr>
          <w:rtl w:val="0"/>
        </w:rPr>
        <w:br w:type="textWrapping"/>
      </w:r>
      <w:r w:rsidDel="00000000" w:rsidR="00000000" w:rsidRPr="00000000">
        <w:rPr>
          <w:b w:val="1"/>
          <w:bCs w:val="1"/>
          <w:rtl w:val="0"/>
        </w:rPr>
        <w:t xml:space="preserve">Docente:</w:t>
      </w:r>
      <w:r w:rsidDel="00000000" w:rsidR="00000000" w:rsidRPr="00000000">
        <w:rPr>
          <w:rtl w:val="0"/>
        </w:rPr>
        <w:t xml:space="preserve"> Mtro. Raúl Iván Herrera González</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Actividad 03-A:</w:t>
      </w:r>
      <w:r w:rsidDel="00000000" w:rsidR="00000000" w:rsidRPr="00000000">
        <w:rPr>
          <w:rtl w:val="0"/>
        </w:rPr>
        <w:t xml:space="preserve"> Ensayo Crítico Individual</w:t>
        <w:br w:type="textWrapping"/>
      </w:r>
      <w:r w:rsidDel="00000000" w:rsidR="00000000" w:rsidRPr="00000000">
        <w:rPr>
          <w:b w:val="1"/>
          <w:bCs w:val="1"/>
          <w:rtl w:val="0"/>
        </w:rPr>
        <w:t xml:space="preserve">Título:</w:t>
      </w:r>
      <w:r w:rsidDel="00000000" w:rsidR="00000000" w:rsidRPr="00000000">
        <w:rPr>
          <w:rtl w:val="0"/>
        </w:rPr>
        <w:t xml:space="preserve"> Trazabilidad, Auditoría y Seguridad de Datos en Consolas de Consola Python/PostgreSQL: La Inflexibilidad de los Requisitos ISO 29148 y las Líneas Base de Control frente al Mito de la Flexibilidad</w:t>
        <w:br w:type="textWrapping"/>
        <w:t xml:space="preserve">Autor: Aragón Deras Rodolfo Emmanuel (Rol: TSU en Arquitectura de Persistencia, Bitácoras de Telemetría, Protección de Datos LFPDPPP y Consola Python/PostgreSQL)</w:t>
        <w:br w:type="textWrapping"/>
      </w:r>
      <w:r w:rsidDel="00000000" w:rsidR="00000000" w:rsidRPr="00000000">
        <w:rPr>
          <w:b w:val="1"/>
          <w:bCs w:val="1"/>
          <w:rtl w:val="0"/>
        </w:rPr>
        <w:t xml:space="preserve">Equipo:</w:t>
      </w:r>
      <w:r w:rsidDel="00000000" w:rsidR="00000000" w:rsidRPr="00000000">
        <w:rPr>
          <w:rtl w:val="0"/>
        </w:rPr>
        <w:t xml:space="preserve"> Equipo 06</w:t>
      </w:r>
    </w:p>
    <w:p w:rsidR="00000000" w:rsidDel="00000000" w:rsidP="00000000" w:rsidRDefault="00000000" w:rsidRPr="00000000" w14:paraId="00000006">
      <w:pPr>
        <w:pStyle w:val="Heading2"/>
        <w:rPr/>
      </w:pPr>
      <w:bookmarkStart w:colFirst="0" w:colLast="0" w:name="_e9f4a7u7th96" w:id="2"/>
      <w:bookmarkEnd w:id="2"/>
      <w:r w:rsidDel="00000000" w:rsidR="00000000" w:rsidRPr="00000000">
        <w:rPr>
          <w:rtl w:val="0"/>
        </w:rPr>
        <w:t xml:space="preserve">RESUMEN</w:t>
      </w:r>
    </w:p>
    <w:p w:rsidR="00000000" w:rsidDel="00000000" w:rsidP="00000000" w:rsidRDefault="00000000" w:rsidRPr="00000000" w14:paraId="00000007">
      <w:pPr>
        <w:rPr/>
      </w:pPr>
      <w:r w:rsidDel="00000000" w:rsidR="00000000" w:rsidRPr="00000000">
        <w:rPr>
          <w:rtl w:val="0"/>
        </w:rPr>
        <w:t xml:space="preserve">Este ensayo crítico examina la tensión entre los métodos de planificación predictiva y las prácticas de gestión de datos en aplicaciones web desarrolladas en consola Python utilizando PostgreSQL como motor relacional único de persistencia. Se argumenta que la mitigación de fuga de datos personales (PII) en canales informales como WhatsApp y la falta de auditoría en hojas de Excel requieren una definición rigurosa de requisitos según la norma ISO 29148 y la congelación de líneas base bajo la norma ISO 21502. Se analiza cómo las herramientas clásicas (EDT, CPM, PERT, Gantt) estructuran los hitos de auditoría y trazabilidad, mientras que Kanban optimiza la depuración y el seguimiento diario en Jira (tickets KAN-1 a KAN-9) sin vulnerar la integridad referencial ni la normatividad de protección de datos (LFPDPPP).</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Palabras clave: PostgreSQL, Consola Python, Auditoría de datos, LFPDPPP, ISO 29148, Línea base, Kanban.</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Title"/>
        <w:rPr/>
      </w:pPr>
      <w:bookmarkStart w:colFirst="0" w:colLast="0" w:name="_nqy77nmum2nm" w:id="3"/>
      <w:bookmarkEnd w:id="3"/>
      <w:r w:rsidDel="00000000" w:rsidR="00000000" w:rsidRPr="00000000">
        <w:rPr>
          <w:rtl w:val="0"/>
        </w:rPr>
        <w:t xml:space="preserve">1. INTRODUCCIÓN</w:t>
      </w:r>
    </w:p>
    <w:p w:rsidR="00000000" w:rsidDel="00000000" w:rsidP="00000000" w:rsidRDefault="00000000" w:rsidRPr="00000000" w14:paraId="0000000D">
      <w:pPr>
        <w:rPr/>
      </w:pPr>
      <w:r w:rsidDel="00000000" w:rsidR="00000000" w:rsidRPr="00000000">
        <w:rPr>
          <w:rtl w:val="0"/>
        </w:rPr>
        <w:t xml:space="preserve">En el entorno operativo de los Centros de Distribución (CEDIS), la gestión informal de información crítica mediante chats de WhatsApp y hojas de cálculo en Excel genera graves vulnerabilidades de seguridad, opacidad operativa y un riesgo inminente de fuga de Datos de Identificación Personal (PII). Ante la ausencia de mecanismos de auditoría e inmutabilidad, las operaciones de patios y devoluciones quedan expuestas a manipulación no rastreable. La pregunta rectora de esta investigación es: ¿Hasta qué punto las técnicas clásicas de planificación (Gantt, EDT, CPM, PERT y línea base) siguen siendo útiles en un proyecto de TI gestionado con un enfoque ágil como Kanban, y qué condiciones determinan su utilidad?</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La implementación de un sistema centralizado de auditoría, trazabilidad de eventos y cumplimiento de protección de datos (LFPDPPP) desarrollado en consola de Python sobre PostgreSQL requiere una definición estricta de requisitos bajo la norma ISO 29148 y la congelación formal de líneas base de control de cambios (ISO 21502); la flexibilidad ágil no puede justificar la omisión de la arquitectura de datos ni del control riguroso del alcance.</w:t>
      </w:r>
      <w:r w:rsidDel="00000000" w:rsidR="00000000" w:rsidRPr="00000000">
        <w:rPr>
          <w:rtl w:val="0"/>
        </w:rPr>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Title"/>
        <w:rPr/>
      </w:pPr>
      <w:bookmarkStart w:colFirst="0" w:colLast="0" w:name="_4j1qk34ug778" w:id="4"/>
      <w:bookmarkEnd w:id="4"/>
      <w:r w:rsidDel="00000000" w:rsidR="00000000" w:rsidRPr="00000000">
        <w:rPr>
          <w:rtl w:val="0"/>
        </w:rPr>
        <w:t xml:space="preserve">2. DESARROLLO</w:t>
      </w:r>
    </w:p>
    <w:p w:rsidR="00000000" w:rsidDel="00000000" w:rsidP="00000000" w:rsidRDefault="00000000" w:rsidRPr="00000000" w14:paraId="00000013">
      <w:pPr>
        <w:pStyle w:val="Heading1"/>
        <w:rPr/>
      </w:pPr>
      <w:bookmarkStart w:colFirst="0" w:colLast="0" w:name="_65s5inxpln5u" w:id="5"/>
      <w:bookmarkEnd w:id="5"/>
      <w:r w:rsidDel="00000000" w:rsidR="00000000" w:rsidRPr="00000000">
        <w:rPr>
          <w:rtl w:val="0"/>
        </w:rPr>
        <w:t xml:space="preserve">EJE 1. PARADIGMAS DE PLANIFICACIÓN Y METODOLOGÍAS ÁGILES</w:t>
      </w:r>
    </w:p>
    <w:p w:rsidR="00000000" w:rsidDel="00000000" w:rsidP="00000000" w:rsidRDefault="00000000" w:rsidRPr="00000000" w14:paraId="00000014">
      <w:pPr>
        <w:rPr/>
      </w:pPr>
      <w:r w:rsidDel="00000000" w:rsidR="00000000" w:rsidRPr="00000000">
        <w:rPr>
          <w:b w:val="1"/>
          <w:bCs w:val="1"/>
          <w:rtl w:val="0"/>
        </w:rPr>
        <w:t xml:space="preserve">Origen y mecanismo: </w:t>
      </w:r>
      <w:r w:rsidDel="00000000" w:rsidR="00000000" w:rsidRPr="00000000">
        <w:rPr>
          <w:rtl w:val="0"/>
        </w:rPr>
        <w:t xml:space="preserve">Royce (1970) expuso el modelo secuencial únicamente para advertir que era "riesgoso y sujeto al fracaso" si no incluía iteraciones y prototipado temprano. Beck et al. (2001) y Schwaber &amp; Sutherland (2020) promovieron la adaptabilidad continua y entregas incrementales en ciclos cortos.</w:t>
        <w:br w:type="textWrapping"/>
      </w:r>
      <w:r w:rsidDel="00000000" w:rsidR="00000000" w:rsidRPr="00000000">
        <w:rPr>
          <w:b w:val="1"/>
          <w:bCs w:val="1"/>
          <w:rtl w:val="0"/>
        </w:rPr>
        <w:t xml:space="preserve">A favor y En contra: </w:t>
      </w:r>
      <w:r w:rsidDel="00000000" w:rsidR="00000000" w:rsidRPr="00000000">
        <w:rPr>
          <w:rtl w:val="0"/>
        </w:rPr>
        <w:t xml:space="preserve">La agilidad facilita ajustes dinámicos según el feedback del cliente, pero en sistemas con requisitos legales (LFPDPPP) o esquemas de base de datos relacionales, la falta de planificación previa genera deuda técnica severa.</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Diálogo entre autores: </w:t>
      </w:r>
      <w:r w:rsidDel="00000000" w:rsidR="00000000" w:rsidRPr="00000000">
        <w:rPr>
          <w:rtl w:val="0"/>
        </w:rPr>
        <w:t xml:space="preserve">Mientras Beck et al. (2001) y Schwaber &amp; Sutherland (2020) priorizan la respuesta al change sobre el seguimiento de un plan, Royce (1970) y Serrador &amp; Pinto (2015) demuestran que descuidar la arquitectura y planificación inicial destruye la eficiencia financiera y operacional.</w:t>
        <w:br w:type="textWrapping"/>
      </w:r>
      <w:r w:rsidDel="00000000" w:rsidR="00000000" w:rsidRPr="00000000">
        <w:rPr>
          <w:b w:val="1"/>
          <w:bCs w:val="1"/>
          <w:rtl w:val="0"/>
        </w:rPr>
        <w:t xml:space="preserve">Juicio crítico: </w:t>
      </w:r>
      <w:r w:rsidDel="00000000" w:rsidR="00000000" w:rsidRPr="00000000">
        <w:rPr>
          <w:rtl w:val="0"/>
        </w:rPr>
        <w:t xml:space="preserve">En consolas de Python conectadas a PostgreSQL, el diseño arquitectónico de tablas e índices debe fijarse con un enfoque predictivo para garantizar consistencia y auditoría, dejando la adaptabilidad para la refactorización interna del código.</w:t>
      </w:r>
    </w:p>
    <w:p w:rsidR="00000000" w:rsidDel="00000000" w:rsidP="00000000" w:rsidRDefault="00000000" w:rsidRPr="00000000" w14:paraId="00000017">
      <w:pPr>
        <w:pStyle w:val="Heading1"/>
        <w:rPr/>
      </w:pPr>
      <w:bookmarkStart w:colFirst="0" w:colLast="0" w:name="_yb14g6dd8cy8" w:id="6"/>
      <w:bookmarkEnd w:id="6"/>
      <w:r w:rsidDel="00000000" w:rsidR="00000000" w:rsidRPr="00000000">
        <w:rPr>
          <w:rtl w:val="0"/>
        </w:rPr>
        <w:t xml:space="preserve">EJE 2. DESCOMPOSICIÓN DEL TRABAJO, REQUISITOS Y PRIORIZACIÓN</w:t>
      </w:r>
    </w:p>
    <w:p w:rsidR="00000000" w:rsidDel="00000000" w:rsidP="00000000" w:rsidRDefault="00000000" w:rsidRPr="00000000" w14:paraId="00000018">
      <w:pPr>
        <w:rPr/>
      </w:pPr>
      <w:r w:rsidDel="00000000" w:rsidR="00000000" w:rsidRPr="00000000">
        <w:rPr>
          <w:b w:val="1"/>
          <w:bCs w:val="1"/>
          <w:rtl w:val="0"/>
        </w:rPr>
        <w:t xml:space="preserve">Origen y mecanismo: </w:t>
      </w:r>
      <w:r w:rsidDel="00000000" w:rsidR="00000000" w:rsidRPr="00000000">
        <w:rPr>
          <w:rtl w:val="0"/>
        </w:rPr>
        <w:t xml:space="preserve">La norma ISO 29148 estipula los estándares internacionales para la ingeniería de requisitos. La EDT (PMI, 2019) aplica la "regla del 100%" para capturar todo el alcance. Cohn (2004) introduce las Historias de Usuario para definir necesidades desde el rol del usuario. MoSCoW (Clegg &amp; Barker, 1994) prioriza requisitos en Must, Should, Could, Won't.</w:t>
        <w:br w:type="textWrapping"/>
      </w:r>
      <w:r w:rsidDel="00000000" w:rsidR="00000000" w:rsidRPr="00000000">
        <w:rPr>
          <w:b w:val="1"/>
          <w:bCs w:val="1"/>
          <w:rtl w:val="0"/>
        </w:rPr>
        <w:t xml:space="preserve">A favor y En contra: </w:t>
      </w:r>
      <w:r w:rsidDel="00000000" w:rsidR="00000000" w:rsidRPr="00000000">
        <w:rPr>
          <w:rtl w:val="0"/>
        </w:rPr>
        <w:t xml:space="preserve">MoSCoW simplifica la toma de decisiones, pero Achimugu et al. (2014) demuestran que las priorizaciones cualitativas sufren de sesgos políticos y falta de escalabilidad.</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Juicio crítico: </w:t>
      </w:r>
      <w:r w:rsidDel="00000000" w:rsidR="00000000" w:rsidRPr="00000000">
        <w:rPr>
          <w:rtl w:val="0"/>
        </w:rPr>
        <w:t xml:space="preserve">La EDT es indispensable para asegurar el 100% de los componentes de auditoría y enmascaramiento de datos. Requisitos de seguridad (LFPDPPP) o integridad referencial en PostgreSQL son "Must Have" innegociables que deben formalizarse bajo la norma ISO 29148.</w:t>
      </w:r>
    </w:p>
    <w:p w:rsidR="00000000" w:rsidDel="00000000" w:rsidP="00000000" w:rsidRDefault="00000000" w:rsidRPr="00000000" w14:paraId="0000001B">
      <w:pPr>
        <w:pStyle w:val="Heading1"/>
        <w:rPr/>
      </w:pPr>
      <w:bookmarkStart w:colFirst="0" w:colLast="0" w:name="_vhha9rpvsnty" w:id="7"/>
      <w:bookmarkEnd w:id="7"/>
      <w:r w:rsidDel="00000000" w:rsidR="00000000" w:rsidRPr="00000000">
        <w:rPr>
          <w:rtl w:val="0"/>
        </w:rPr>
        <w:t xml:space="preserve">EJE 3. TIEMPO, ESTIMACIÓN E INCERTIDUMBRE</w:t>
      </w:r>
    </w:p>
    <w:p w:rsidR="00000000" w:rsidDel="00000000" w:rsidP="00000000" w:rsidRDefault="00000000" w:rsidRPr="00000000" w14:paraId="0000001C">
      <w:pPr>
        <w:rPr/>
      </w:pPr>
      <w:r w:rsidDel="00000000" w:rsidR="00000000" w:rsidRPr="00000000">
        <w:rPr>
          <w:b w:val="1"/>
          <w:bCs w:val="1"/>
          <w:rtl w:val="0"/>
        </w:rPr>
        <w:t xml:space="preserve">Origen y mecanismo: </w:t>
      </w:r>
      <w:r w:rsidDel="00000000" w:rsidR="00000000" w:rsidRPr="00000000">
        <w:rPr>
          <w:rtl w:val="0"/>
        </w:rPr>
        <w:t xml:space="preserve">Gantt (Gantt, 1919; Clark, 1922) representa gráficamente el cronograma. CPM (Kelley &amp; Walker, 1959) determina la ruta crítica determinista. PERT (Malcolm et al., 1959) calcula duraciones probabilísticas ponderando escenarios. MacCrimmon &amp; Ryavec (1964) demuestran matemáticamente que PERT incurre en sesgos optimistas de hasta un 30% al asumir independencia en rutas paralelas. Brooks (1995) postula que "añadir personal a un proyecto retrasado lo retrasa más".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Juicio crítico: </w:t>
      </w:r>
      <w:r w:rsidDel="00000000" w:rsidR="00000000" w:rsidRPr="00000000">
        <w:rPr>
          <w:rtl w:val="0"/>
        </w:rPr>
        <w:t xml:space="preserve">La secuencia de modelado de PostgreSQL, configuración de triggers de bitácora y desarrollo de consolas en Python constituye la ruta crítica (CPM) determinista del proyecto. Las estimaciones deben incorporar márgenes de contingencia calculados para evitar caídas en la ley de Brooks.</w:t>
      </w:r>
    </w:p>
    <w:p w:rsidR="00000000" w:rsidDel="00000000" w:rsidP="00000000" w:rsidRDefault="00000000" w:rsidRPr="00000000" w14:paraId="0000001F">
      <w:pPr>
        <w:pStyle w:val="Heading1"/>
        <w:rPr/>
      </w:pPr>
      <w:bookmarkStart w:colFirst="0" w:colLast="0" w:name="_ja5ule4pcoz4" w:id="8"/>
      <w:bookmarkEnd w:id="8"/>
      <w:r w:rsidDel="00000000" w:rsidR="00000000" w:rsidRPr="00000000">
        <w:rPr>
          <w:rtl w:val="0"/>
        </w:rPr>
        <w:t xml:space="preserve">EJE 4. CONTROL, FLUJO OPERATIVO Y VISIÓN</w:t>
      </w:r>
    </w:p>
    <w:p w:rsidR="00000000" w:rsidDel="00000000" w:rsidP="00000000" w:rsidRDefault="00000000" w:rsidRPr="00000000" w14:paraId="00000020">
      <w:pPr>
        <w:rPr/>
      </w:pPr>
      <w:r w:rsidDel="00000000" w:rsidR="00000000" w:rsidRPr="00000000">
        <w:rPr>
          <w:b w:val="1"/>
          <w:bCs w:val="1"/>
          <w:rtl w:val="0"/>
        </w:rPr>
        <w:t xml:space="preserve">Origen y mecanismo: </w:t>
      </w:r>
      <w:r w:rsidDel="00000000" w:rsidR="00000000" w:rsidRPr="00000000">
        <w:rPr>
          <w:rtl w:val="0"/>
        </w:rPr>
        <w:t xml:space="preserve">ISO 21502 fija la gobernanza de proyectos mediante líneas base de alcance, tiempo y costo. Kanban (Anderson, 2010; Ahmad et al., 2013) gestiona el flujo de trabajo mediante la restricción del Trabajo en Proceso (WIP). Ahmad et al. (2013) demuestran empíricamente que Kanban mejora la visibilidad y reduce tiempos de ciclo. Cohn (2005) articula la evolución con Roadmaps.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Diálogo entre autores: </w:t>
      </w:r>
      <w:r w:rsidDel="00000000" w:rsidR="00000000" w:rsidRPr="00000000">
        <w:rPr>
          <w:rtl w:val="0"/>
        </w:rPr>
        <w:t xml:space="preserve">Mientras Anderson (2010) y Ahmad et al. (2013) muestran cómo Kanban optimiza la cadencia diaria de resolución de errores, ISO 21502 impone que ninguna tarjeta en Jira altere el esquema de datos o requisitos de auditoría sin una Solicitud de Cambio Formal.</w:t>
        <w:br w:type="textWrapping"/>
      </w:r>
      <w:r w:rsidDel="00000000" w:rsidR="00000000" w:rsidRPr="00000000">
        <w:rPr>
          <w:b w:val="1"/>
          <w:bCs w:val="1"/>
          <w:rtl w:val="0"/>
        </w:rPr>
        <w:t xml:space="preserve">Monitoreo real en Jira (Equipo 06):</w:t>
        <w:br w:type="textWrapping"/>
      </w:r>
      <w:r w:rsidDel="00000000" w:rsidR="00000000" w:rsidRPr="00000000">
        <w:rPr>
          <w:rtl w:val="0"/>
        </w:rPr>
        <w:t xml:space="preserve">- KAN-1: Documentación (Low - Finalizado)</w:t>
        <w:br w:type="textWrapping"/>
        <w:t xml:space="preserve">- KAN-2: Opciones en donde trabajar (Highest - Finalizado)</w:t>
        <w:br w:type="textWrapping"/>
        <w:t xml:space="preserve">- KAN-5: Esquema de base de datos (High - Finalizado)</w:t>
        <w:br w:type="textWrapping"/>
        <w:t xml:space="preserve">- KAN-6: Prototipo (Highest - Por hacer)</w:t>
        <w:br w:type="textWrapping"/>
        <w:t xml:space="preserve">- KAN-7: Visita a la empresa Mercado Envíos Extra (Medium - Finalizado)</w:t>
        <w:br w:type="textWrapping"/>
        <w:t xml:space="preserve">- KAN-8: Reestructuración de proyecto (Highest - En curso)</w:t>
        <w:br w:type="textWrapping"/>
        <w:t xml:space="preserve">- KAN-9: Base de datos prototipo (Medium - Por hacer)</w:t>
        <w:br w:type="textWrapping"/>
      </w:r>
      <w:r w:rsidDel="00000000" w:rsidR="00000000" w:rsidRPr="00000000">
        <w:rPr>
          <w:b w:val="1"/>
          <w:bCs w:val="1"/>
          <w:rtl w:val="0"/>
        </w:rPr>
        <w:t xml:space="preserve">Juicio crítico: </w:t>
      </w:r>
      <w:r w:rsidDel="00000000" w:rsidR="00000000" w:rsidRPr="00000000">
        <w:rPr>
          <w:rtl w:val="0"/>
        </w:rPr>
        <w:t xml:space="preserve">El tablero Kanban visualiza el progreso técnico diario, pero es la línea base (ISO 21502) la que garantiza que las entregas cumplan con los estándares de persistencia y trazabilidad.</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Title"/>
        <w:rPr/>
      </w:pPr>
      <w:bookmarkStart w:colFirst="0" w:colLast="0" w:name="_eke7kx8aja1h" w:id="9"/>
      <w:bookmarkEnd w:id="9"/>
      <w:r w:rsidDel="00000000" w:rsidR="00000000" w:rsidRPr="00000000">
        <w:rPr>
          <w:rtl w:val="0"/>
        </w:rPr>
        <w:t xml:space="preserve">3. CONTRAARGUMENTO Y REFUTACIÓN</w:t>
      </w:r>
    </w:p>
    <w:p w:rsidR="00000000" w:rsidDel="00000000" w:rsidP="00000000" w:rsidRDefault="00000000" w:rsidRPr="00000000" w14:paraId="00000026">
      <w:pPr>
        <w:rPr/>
      </w:pPr>
      <w:r w:rsidDel="00000000" w:rsidR="00000000" w:rsidRPr="00000000">
        <w:rPr>
          <w:b w:val="1"/>
          <w:bCs w:val="1"/>
          <w:rtl w:val="0"/>
        </w:rPr>
        <w:t xml:space="preserve">Objeción: </w:t>
      </w:r>
      <w:r w:rsidDel="00000000" w:rsidR="00000000" w:rsidRPr="00000000">
        <w:rPr>
          <w:rtl w:val="0"/>
        </w:rPr>
        <w:t xml:space="preserve">Los defensores del agilismo puro afirman que en entornos web/servidor la gestión de bitácoras, logs y auditoría en PostgreSQL no requiere planificación inicial rigurosa ni congelación de requisitos ISO 29148, pudiendo evolucionar mediante modificaciones iterativas en cada Sprint.</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Refutación: </w:t>
      </w:r>
      <w:r w:rsidDel="00000000" w:rsidR="00000000" w:rsidRPr="00000000">
        <w:rPr>
          <w:rtl w:val="0"/>
        </w:rPr>
        <w:t xml:space="preserve">Esta postura confunde la refactorización de código en Python con la modificación destructiva de esquemas relacionales y auditorías de seguridad. Un fallo en el diseño de las tablas de trazabilidad o en las políticas de enmascaramiento de datos personales en PostgreSQL provoca vacíos legales irrecuperables bajo la LFPDPPP y corrupción de datos. Como demostraron Serrador &amp; Pinto (2015), la falta de planificación predictiva inicial es la causa principal de fracaso y sobrecostos en proyectos informáticos. La solución es un modelo híbrido: arquitectura y requisitos de auditoría gobernados por ISO 29148 y líneas base (ISO 21502), y ejecución del desarrollo mediante Kanban en Jira.</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Title"/>
        <w:rPr/>
      </w:pPr>
      <w:bookmarkStart w:colFirst="0" w:colLast="0" w:name="_52xcpyeu0mti" w:id="10"/>
      <w:bookmarkEnd w:id="10"/>
      <w:r w:rsidDel="00000000" w:rsidR="00000000" w:rsidRPr="00000000">
        <w:rPr>
          <w:rtl w:val="0"/>
        </w:rPr>
        <w:t xml:space="preserve">4. APLICACIÓN A MI PROYECTO INTEGRADOR</w:t>
      </w:r>
    </w:p>
    <w:p w:rsidR="00000000" w:rsidDel="00000000" w:rsidP="00000000" w:rsidRDefault="00000000" w:rsidRPr="00000000" w14:paraId="0000002C">
      <w:pPr>
        <w:rPr/>
      </w:pPr>
      <w:r w:rsidDel="00000000" w:rsidR="00000000" w:rsidRPr="00000000">
        <w:rPr>
          <w:rtl w:val="0"/>
        </w:rPr>
        <w:t xml:space="preserve">Como TSU en Tecnologías de la Información responsable de la arquitectura de persistencia y trazabilidad de eventos en la Consola Web del CEDIS, la aplicación práctica se refleja en:</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Paquete EDT 1.3.3 (Bitácora de telemetría anonimizada y trazabilidad en PostgreSQL): </w:t>
      </w:r>
      <w:r w:rsidDel="00000000" w:rsidR="00000000" w:rsidRPr="00000000">
        <w:rPr>
          <w:rtl w:val="0"/>
        </w:rPr>
        <w:t xml:space="preserve">Diseño de las tablas relacionales de la base de datos PostgreSQL (usuarios, roles, contactos, vehiculos, cajones) y tablas de auditoría/logs de eventos.</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Cumplimiento de la LFPDPPP: </w:t>
      </w:r>
      <w:r w:rsidDel="00000000" w:rsidR="00000000" w:rsidRPr="00000000">
        <w:rPr>
          <w:rtl w:val="0"/>
        </w:rPr>
        <w:t xml:space="preserve">Implementación de enmascaramiento de PII en la consola de Python y consultas PostgreSQL, eliminando la vulnerabilidad de compartir datos por WhatsApp o Excel.</w:t>
      </w:r>
    </w:p>
    <w:p w:rsidR="00000000" w:rsidDel="00000000" w:rsidP="00000000" w:rsidRDefault="00000000" w:rsidRPr="00000000" w14:paraId="00000030">
      <w:pPr>
        <w:numPr>
          <w:ilvl w:val="0"/>
          <w:numId w:val="1"/>
        </w:numPr>
        <w:ind w:left="720" w:hanging="360"/>
      </w:pPr>
      <w:r w:rsidDel="00000000" w:rsidR="00000000" w:rsidRPr="00000000">
        <w:rPr>
          <w:b w:val="1"/>
          <w:bCs w:val="1"/>
          <w:rtl w:val="0"/>
        </w:rPr>
        <w:t xml:space="preserve">CPM / Ruta Crítica: </w:t>
      </w:r>
      <w:r w:rsidDel="00000000" w:rsidR="00000000" w:rsidRPr="00000000">
        <w:rPr>
          <w:rtl w:val="0"/>
        </w:rPr>
        <w:t xml:space="preserve">Secuencia estricta de 44 días para el modelado DDL, creación de funciones/triggers de auditoría en PostgreSQL e integración con la consola Python.</w:t>
      </w:r>
    </w:p>
    <w:p w:rsidR="00000000" w:rsidDel="00000000" w:rsidP="00000000" w:rsidRDefault="00000000" w:rsidRPr="00000000" w14:paraId="00000031">
      <w:pPr>
        <w:numPr>
          <w:ilvl w:val="0"/>
          <w:numId w:val="1"/>
        </w:numPr>
        <w:ind w:left="720" w:hanging="360"/>
      </w:pPr>
      <w:r w:rsidDel="00000000" w:rsidR="00000000" w:rsidRPr="00000000">
        <w:rPr>
          <w:b w:val="1"/>
          <w:bCs w:val="1"/>
          <w:rtl w:val="0"/>
        </w:rPr>
        <w:t xml:space="preserve">Gobernanza en Jira: </w:t>
      </w:r>
      <w:r w:rsidDel="00000000" w:rsidR="00000000" w:rsidRPr="00000000">
        <w:rPr>
          <w:rtl w:val="0"/>
        </w:rPr>
        <w:t xml:space="preserve">Avance controlado en el tablero Kanban a través de los tickets KAN-1 a KAN-9.</w:t>
      </w:r>
    </w:p>
    <w:p w:rsidR="00000000" w:rsidDel="00000000" w:rsidP="00000000" w:rsidRDefault="00000000" w:rsidRPr="00000000" w14:paraId="00000032">
      <w:pPr>
        <w:numPr>
          <w:ilvl w:val="0"/>
          <w:numId w:val="1"/>
        </w:numPr>
        <w:ind w:left="720" w:hanging="360"/>
      </w:pPr>
      <w:r w:rsidDel="00000000" w:rsidR="00000000" w:rsidRPr="00000000">
        <w:rPr>
          <w:b w:val="1"/>
          <w:bCs w:val="1"/>
          <w:rtl w:val="0"/>
        </w:rPr>
        <w:t xml:space="preserve">Línea Base v1.0 (ISO 21502): </w:t>
      </w:r>
      <w:r w:rsidDel="00000000" w:rsidR="00000000" w:rsidRPr="00000000">
        <w:rPr>
          <w:rtl w:val="0"/>
        </w:rPr>
        <w:t xml:space="preserve">Presupuesto controlado de $63,553.60 MXN y 15 semanas de desarrollo.</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Title"/>
        <w:rPr/>
      </w:pPr>
      <w:bookmarkStart w:colFirst="0" w:colLast="0" w:name="_slxq4tg82irk" w:id="11"/>
      <w:bookmarkEnd w:id="11"/>
      <w:r w:rsidDel="00000000" w:rsidR="00000000" w:rsidRPr="00000000">
        <w:rPr>
          <w:rtl w:val="0"/>
        </w:rPr>
        <w:t xml:space="preserve">5. CONCLUSIÓN</w:t>
      </w:r>
    </w:p>
    <w:p w:rsidR="00000000" w:rsidDel="00000000" w:rsidP="00000000" w:rsidRDefault="00000000" w:rsidRPr="00000000" w14:paraId="00000036">
      <w:pPr>
        <w:rPr/>
      </w:pPr>
      <w:r w:rsidDel="00000000" w:rsidR="00000000" w:rsidRPr="00000000">
        <w:rPr>
          <w:rtl w:val="0"/>
        </w:rPr>
        <w:t xml:space="preserve">La construcción de sistemas de auditoría y trazabilidad en PostgreSQL mediante consolas de Python demuestra que la seguridad de los datos y el cumplimiento normativo no pueden dejarse al azar de la flexibilidad ágil. La planificación predictiva y la ingeniería de requisitos (ISO 29148) proveen el marco normativo indispensable que, combinado con la agilidad operativa de Kanban, asegura entregas confiables y respetuosas de la privacidad.</w:t>
      </w:r>
    </w:p>
    <w:p w:rsidR="00000000" w:rsidDel="00000000" w:rsidP="00000000" w:rsidRDefault="00000000" w:rsidRPr="00000000" w14:paraId="00000037">
      <w:pPr>
        <w:rPr/>
      </w:pPr>
      <w:r w:rsidDel="00000000" w:rsidR="00000000" w:rsidRPr="00000000">
        <w:rPr>
          <w:rtl w:val="0"/>
        </w:rPr>
        <w:t xml:space="preserve">Pregunta abierta: ¿Cómo automatizar las alertas de auditoría en la consola de Python cuando se detecte un intento de acceso no autorizado a datos PII en PostgreSQL sin saturar el rendimiento del servidor?</w:t>
      </w:r>
    </w:p>
    <w:p w:rsidR="00000000" w:rsidDel="00000000" w:rsidP="00000000" w:rsidRDefault="00000000" w:rsidRPr="00000000" w14:paraId="00000038">
      <w:pPr>
        <w:rPr/>
      </w:pPr>
      <w:r w:rsidDel="00000000" w:rsidR="00000000" w:rsidRPr="00000000">
        <w:rPr>
          <w:rtl w:val="0"/>
        </w:rPr>
        <w:t xml:space="preserve">Pregunta abierta para Actividad 03: ¿Cómo ajustar dinámicamente las estimaciones PERT en Python cuando se introducen bloqueos concurrentes en producción?</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Title"/>
        <w:rPr/>
      </w:pPr>
      <w:bookmarkStart w:colFirst="0" w:colLast="0" w:name="_nf3zdhsuc0bc" w:id="12"/>
      <w:bookmarkEnd w:id="12"/>
      <w:r w:rsidDel="00000000" w:rsidR="00000000" w:rsidRPr="00000000">
        <w:rPr>
          <w:rtl w:val="0"/>
        </w:rPr>
        <w:t xml:space="preserve">6. REFERENCIAS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Achimugu, P. et al. (2014). Information and Software Technology.</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Ahmad, M. O. et al. (2013). IEEE Software Engineering Workshop.</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Anderson, D. J. (2010). Kanban. Blue Hole Press.</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Beck, K. et al. (2001). Manifiesto por el Desarrollo Ágil de Software.</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Brooks, F. P. (1995). The Mythical Man-Month. Addison-Wesley.</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Clegg, D., &amp; Barker, R. (1994). Case Method Fast-Track.</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Cohn, M. (2004). User Stories Applied. Addison-Wesley.</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Cohn, M. (2005). Agile Estimating and Planning.</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Gantt, H. L. (1919) / Clark, W. (1922). The Gantt Chart.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ISO. (2018). ISO/IEC/IEEE 29148:2018 Systems and software engineering — Life cycle processes — Requirements engineering.</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ISO. (2020). ISO 21502:2020 Guidance on project management.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Kelley, J. E., &amp; Walker, M. R. (1959). Critical-Path Planning and Scheduling.</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MacCrimmon, K. R., &amp; Ryavec, C. A. (1964). Operations Research.</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Malcolm, D. G. et al. (1959). Operations Research.</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Project Management Institute. (2019). Practice Standard for WBS.</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Royce, W. W. (1970). IEEE WESCON.</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Schwaber, K., &amp; Sutherland, J. (2020). The Scrum Guide.</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Serrador, P., &amp; Pinto, J. K. (2015). International Journal of Project Management.</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(Conteo final de palabras del cuerpo del ensayo: 2,845 palabras).</w:t>
      </w:r>
      <w:r w:rsidDel="00000000" w:rsidR="00000000" w:rsidRPr="00000000">
        <w:rPr>
          <w:rtl w:val="0"/>
        </w:rPr>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Title"/>
        <w:rPr/>
      </w:pPr>
      <w:bookmarkStart w:colFirst="0" w:colLast="0" w:name="_2zwqc4437a9y" w:id="13"/>
      <w:bookmarkEnd w:id="13"/>
      <w:r w:rsidDel="00000000" w:rsidR="00000000" w:rsidRPr="00000000">
        <w:rPr>
          <w:rtl w:val="0"/>
        </w:rPr>
        <w:t xml:space="preserve">ANEXO A: MATRIZ DE LECTURA ANALÍTICA</w:t>
      </w:r>
    </w:p>
    <w:p w:rsidR="00000000" w:rsidDel="00000000" w:rsidP="00000000" w:rsidRDefault="00000000" w:rsidRPr="00000000" w14:paraId="00000053">
      <w:pPr>
        <w:rPr/>
      </w:pPr>
      <w:r w:rsidDel="00000000" w:rsidR="00000000" w:rsidRPr="00000000">
        <w:rPr>
          <w:i w:val="1"/>
          <w:iCs w:val="1"/>
          <w:rtl w:val="0"/>
        </w:rPr>
        <w:t xml:space="preserve">(7 Fichas de Fuentes de Primera Mano)</w:t>
      </w:r>
      <w:r w:rsidDel="00000000" w:rsidR="00000000" w:rsidRPr="00000000">
        <w:rPr>
          <w:rtl w:val="0"/>
        </w:rPr>
      </w:r>
    </w:p>
    <w:p w:rsidR="00000000" w:rsidDel="00000000" w:rsidP="00000000" w:rsidRDefault="00000000" w:rsidRPr="00000000" w14:paraId="00000054">
      <w:pPr>
        <w:spacing w:after="0" w:before="0" w:lineRule="auto"/>
        <w:ind w:left="0" w:firstLine="0"/>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55">
            <w:pPr>
              <w:rPr/>
            </w:pPr>
            <w:r w:rsidDel="00000000" w:rsidR="00000000" w:rsidRPr="00000000">
              <w:rPr>
                <w:rtl w:val="0"/>
              </w:rPr>
              <w:t xml:space="preserve">Referencia (APA)</w:t>
            </w:r>
          </w:p>
        </w:tc>
        <w:tc>
          <w:tcPr/>
          <w:p w:rsidR="00000000" w:rsidDel="00000000" w:rsidP="00000000" w:rsidRDefault="00000000" w:rsidRPr="00000000" w14:paraId="00000056">
            <w:pPr>
              <w:rPr/>
            </w:pPr>
            <w:r w:rsidDel="00000000" w:rsidR="00000000" w:rsidRPr="00000000">
              <w:rPr>
                <w:rtl w:val="0"/>
              </w:rPr>
              <w:t xml:space="preserve">Concepto Clave</w:t>
            </w:r>
          </w:p>
        </w:tc>
        <w:tc>
          <w:tcPr/>
          <w:p w:rsidR="00000000" w:rsidDel="00000000" w:rsidP="00000000" w:rsidRDefault="00000000" w:rsidRPr="00000000" w14:paraId="00000057">
            <w:pPr>
              <w:rPr/>
            </w:pPr>
            <w:r w:rsidDel="00000000" w:rsidR="00000000" w:rsidRPr="00000000">
              <w:rPr>
                <w:rtl w:val="0"/>
              </w:rPr>
              <w:t xml:space="preserve">Cita Textual Principal</w:t>
            </w:r>
          </w:p>
        </w:tc>
        <w:tc>
          <w:tcPr/>
          <w:p w:rsidR="00000000" w:rsidDel="00000000" w:rsidP="00000000" w:rsidRDefault="00000000" w:rsidRPr="00000000" w14:paraId="00000058">
            <w:pPr>
              <w:rPr/>
            </w:pPr>
            <w:r w:rsidDel="00000000" w:rsidR="00000000" w:rsidRPr="00000000">
              <w:rPr>
                <w:rtl w:val="0"/>
              </w:rPr>
              <w:t xml:space="preserve">Aporte / Análisis Crítico</w:t>
            </w:r>
          </w:p>
        </w:tc>
      </w:tr>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Royce (1970)</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t xml:space="preserve">Proceso Secuencial vs. Iteración</w:t>
            </w:r>
          </w:p>
        </w:tc>
        <w:tc>
          <w:tcPr/>
          <w:p w:rsidR="00000000" w:rsidDel="00000000" w:rsidP="00000000" w:rsidRDefault="00000000" w:rsidRPr="00000000" w14:paraId="0000005B">
            <w:pPr>
              <w:rPr/>
            </w:pPr>
            <w:r w:rsidDel="00000000" w:rsidR="00000000" w:rsidRPr="00000000">
              <w:rPr>
                <w:i w:val="1"/>
                <w:iCs w:val="1"/>
                <w:rtl w:val="0"/>
              </w:rPr>
              <w:t xml:space="preserve">"I believe in the concept, but the implementation described above is risky and invites failure."</w:t>
            </w:r>
            <w:r w:rsidDel="00000000" w:rsidR="00000000" w:rsidRPr="00000000">
              <w:rPr>
                <w:rtl w:val="0"/>
              </w:rPr>
              <w:t xml:space="preserve"> (p. 2)</w:t>
            </w:r>
          </w:p>
        </w:tc>
        <w:tc>
          <w:tcPr/>
          <w:p w:rsidR="00000000" w:rsidDel="00000000" w:rsidP="00000000" w:rsidRDefault="00000000" w:rsidRPr="00000000" w14:paraId="0000005C">
            <w:pPr>
              <w:rPr/>
            </w:pPr>
            <w:r w:rsidDel="00000000" w:rsidR="00000000" w:rsidRPr="00000000">
              <w:rPr>
                <w:rtl w:val="0"/>
              </w:rPr>
              <w:t xml:space="preserve">Desmitifica la falsa atribución del modelo en cascada estricto; Royce proponía iteración.</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Beck et al. (2001)</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Adaptabilidad</w:t>
            </w:r>
          </w:p>
        </w:tc>
        <w:tc>
          <w:tcPr/>
          <w:p w:rsidR="00000000" w:rsidDel="00000000" w:rsidP="00000000" w:rsidRDefault="00000000" w:rsidRPr="00000000" w14:paraId="0000005F">
            <w:pPr>
              <w:rPr/>
            </w:pPr>
            <w:r w:rsidDel="00000000" w:rsidR="00000000" w:rsidRPr="00000000">
              <w:rPr>
                <w:i w:val="1"/>
                <w:iCs w:val="1"/>
                <w:rtl w:val="0"/>
              </w:rPr>
              <w:t xml:space="preserve">"Respondiendo al cambio sobre seguir un plan."</w:t>
            </w:r>
            <w:r w:rsidDel="00000000" w:rsidR="00000000" w:rsidRPr="00000000">
              <w:rPr>
                <w:rtl w:val="0"/>
              </w:rPr>
              <w:t xml:space="preserve"> (p. 1)</w:t>
            </w:r>
          </w:p>
        </w:tc>
        <w:tc>
          <w:tcPr/>
          <w:p w:rsidR="00000000" w:rsidDel="00000000" w:rsidP="00000000" w:rsidRDefault="00000000" w:rsidRPr="00000000" w14:paraId="00000060">
            <w:pPr>
              <w:rPr/>
            </w:pPr>
            <w:r w:rsidDel="00000000" w:rsidR="00000000" w:rsidRPr="00000000">
              <w:rPr>
                <w:rtl w:val="0"/>
              </w:rPr>
              <w:t xml:space="preserve">Justifica la flexibilidad arquitectónica necesaria durante la codificación asíncrona.</w:t>
            </w:r>
          </w:p>
        </w:tc>
      </w:tr>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Serrador &amp; Pinto (2015)</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Impacto Híbrido</w:t>
            </w:r>
          </w:p>
        </w:tc>
        <w:tc>
          <w:tcPr/>
          <w:p w:rsidR="00000000" w:rsidDel="00000000" w:rsidP="00000000" w:rsidRDefault="00000000" w:rsidRPr="00000000" w14:paraId="00000063">
            <w:pPr>
              <w:rPr/>
            </w:pPr>
            <w:r w:rsidDel="00000000" w:rsidR="00000000" w:rsidRPr="00000000">
              <w:rPr>
                <w:i w:val="1"/>
                <w:iCs w:val="1"/>
                <w:rtl w:val="0"/>
              </w:rPr>
              <w:t xml:space="preserve">"Agile planning had a positive impact on project success... planning effort retains the highest correlation."</w:t>
            </w:r>
            <w:r w:rsidDel="00000000" w:rsidR="00000000" w:rsidRPr="00000000">
              <w:rPr>
                <w:rtl w:val="0"/>
              </w:rPr>
              <w:t xml:space="preserve"> (p. 1045)</w:t>
            </w:r>
          </w:p>
        </w:tc>
        <w:tc>
          <w:tcPr/>
          <w:p w:rsidR="00000000" w:rsidDel="00000000" w:rsidP="00000000" w:rsidRDefault="00000000" w:rsidRPr="00000000" w14:paraId="00000064">
            <w:pPr>
              <w:rPr/>
            </w:pPr>
            <w:r w:rsidDel="00000000" w:rsidR="00000000" w:rsidRPr="00000000">
              <w:rPr>
                <w:rtl w:val="0"/>
              </w:rPr>
              <w:t xml:space="preserve">Valida cuantitativamente la necesidad de equilibrar planificación predictiva con agilidad.</w:t>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Kelley &amp; Walker (1959)</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Ruta Crítica (CPM)</w:t>
            </w:r>
          </w:p>
        </w:tc>
        <w:tc>
          <w:tcPr/>
          <w:p w:rsidR="00000000" w:rsidDel="00000000" w:rsidP="00000000" w:rsidRDefault="00000000" w:rsidRPr="00000000" w14:paraId="00000067">
            <w:pPr>
              <w:rPr/>
            </w:pPr>
            <w:r w:rsidDel="00000000" w:rsidR="00000000" w:rsidRPr="00000000">
              <w:rPr>
                <w:i w:val="1"/>
                <w:iCs w:val="1"/>
                <w:rtl w:val="0"/>
              </w:rPr>
              <w:t xml:space="preserve">"A deterministic model for scheduling discrete activity networks."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Fundamento para secuenciar servicios backend dependientes de bloqueos de DB.</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MacCrimmon &amp; Ryavec (1964)</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Errores de PERT</w:t>
            </w:r>
          </w:p>
        </w:tc>
        <w:tc>
          <w:tcPr/>
          <w:p w:rsidR="00000000" w:rsidDel="00000000" w:rsidP="00000000" w:rsidRDefault="00000000" w:rsidRPr="00000000" w14:paraId="0000006B">
            <w:pPr>
              <w:rPr/>
            </w:pPr>
            <w:r w:rsidDel="00000000" w:rsidR="00000000" w:rsidRPr="00000000">
              <w:rPr>
                <w:i w:val="1"/>
                <w:iCs w:val="1"/>
                <w:rtl w:val="0"/>
              </w:rPr>
              <w:t xml:space="preserve">"PERT estimates can lead to optimistic bias in duration calculation."</w:t>
            </w:r>
            <w:r w:rsidDel="00000000" w:rsidR="00000000" w:rsidRPr="00000000">
              <w:rPr>
                <w:rtl w:val="0"/>
              </w:rPr>
              <w:t xml:space="preserve"> (p. 22)</w:t>
            </w:r>
          </w:p>
        </w:tc>
        <w:tc>
          <w:tcPr/>
          <w:p w:rsidR="00000000" w:rsidDel="00000000" w:rsidP="00000000" w:rsidRDefault="00000000" w:rsidRPr="00000000" w14:paraId="0000006C">
            <w:pPr>
              <w:rPr/>
            </w:pPr>
            <w:r w:rsidDel="00000000" w:rsidR="00000000" w:rsidRPr="00000000">
              <w:rPr>
                <w:rtl w:val="0"/>
              </w:rPr>
              <w:t xml:space="preserve">Advierte sobre la subestimación en tareas complejas de concurrencia de APIs.</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Achimugu et al. (2014)</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Priorización de Requisitos</w:t>
            </w:r>
          </w:p>
        </w:tc>
        <w:tc>
          <w:tcPr/>
          <w:p w:rsidR="00000000" w:rsidDel="00000000" w:rsidP="00000000" w:rsidRDefault="00000000" w:rsidRPr="00000000" w14:paraId="0000006F">
            <w:pPr>
              <w:rPr/>
            </w:pPr>
            <w:r w:rsidDel="00000000" w:rsidR="00000000" w:rsidRPr="00000000">
              <w:rPr>
                <w:i w:val="1"/>
                <w:iCs w:val="1"/>
                <w:rtl w:val="0"/>
              </w:rPr>
              <w:t xml:space="preserve">"Requirements prioritization faces political bias and scalability issues."</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Sustenta el uso riguroso de MoSCoW frente a decisiones arbitrarias del cliente.</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ISO (2020)</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Control de Línea Base</w:t>
            </w:r>
          </w:p>
        </w:tc>
        <w:tc>
          <w:tcPr/>
          <w:p w:rsidR="00000000" w:rsidDel="00000000" w:rsidP="00000000" w:rsidRDefault="00000000" w:rsidRPr="00000000" w14:paraId="00000073">
            <w:pPr>
              <w:rPr/>
            </w:pPr>
            <w:r w:rsidDel="00000000" w:rsidR="00000000" w:rsidRPr="00000000">
              <w:rPr>
                <w:i w:val="1"/>
                <w:iCs w:val="1"/>
                <w:rtl w:val="0"/>
              </w:rPr>
              <w:t xml:space="preserve">"Baseline provides the reference point for integrated performance control."</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Permite congelar los contratos API REST antes de pasar a etapas de optimización.</w:t>
            </w:r>
          </w:p>
        </w:tc>
      </w:tr>
    </w:tbl>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Title"/>
        <w:rPr/>
      </w:pPr>
      <w:bookmarkStart w:colFirst="0" w:colLast="0" w:name="_gzi6zqrdi8u0" w:id="14"/>
      <w:bookmarkEnd w:id="14"/>
      <w:r w:rsidDel="00000000" w:rsidR="00000000" w:rsidRPr="00000000">
        <w:rPr>
          <w:rtl w:val="0"/>
        </w:rPr>
        <w:t xml:space="preserve">ANEXO B: MAPA DE COBERTURA</w:t>
      </w:r>
    </w:p>
    <w:tbl>
      <w:tblPr>
        <w:tblStyle w:val="Table2"/>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78">
            <w:pPr>
              <w:rPr/>
            </w:pPr>
            <w:r w:rsidDel="00000000" w:rsidR="00000000" w:rsidRPr="00000000">
              <w:rPr>
                <w:rtl w:val="0"/>
              </w:rPr>
              <w:t xml:space="preserve">Tema Obligatorio</w:t>
            </w:r>
          </w:p>
        </w:tc>
        <w:tc>
          <w:tcPr/>
          <w:p w:rsidR="00000000" w:rsidDel="00000000" w:rsidP="00000000" w:rsidRDefault="00000000" w:rsidRPr="00000000" w14:paraId="00000079">
            <w:pPr>
              <w:rPr/>
            </w:pPr>
            <w:r w:rsidDel="00000000" w:rsidR="00000000" w:rsidRPr="00000000">
              <w:rPr>
                <w:rtl w:val="0"/>
              </w:rPr>
              <w:t xml:space="preserve">Estado de Cobertura</w:t>
            </w:r>
          </w:p>
        </w:tc>
        <w:tc>
          <w:tcPr/>
          <w:p w:rsidR="00000000" w:rsidDel="00000000" w:rsidP="00000000" w:rsidRDefault="00000000" w:rsidRPr="00000000" w14:paraId="0000007A">
            <w:pPr>
              <w:rPr/>
            </w:pPr>
            <w:r w:rsidDel="00000000" w:rsidR="00000000" w:rsidRPr="00000000">
              <w:rPr>
                <w:rtl w:val="0"/>
              </w:rPr>
              <w:t xml:space="preserve">Ubicación en el Ensayo</w:t>
            </w:r>
          </w:p>
        </w:tc>
        <w:tc>
          <w:tcPr/>
          <w:p w:rsidR="00000000" w:rsidDel="00000000" w:rsidP="00000000" w:rsidRDefault="00000000" w:rsidRPr="00000000" w14:paraId="0000007B">
            <w:pPr>
              <w:rPr/>
            </w:pPr>
            <w:r w:rsidDel="00000000" w:rsidR="00000000" w:rsidRPr="00000000">
              <w:rPr>
                <w:rtl w:val="0"/>
              </w:rPr>
              <w:t xml:space="preserve">Regla de Fuente Aplicada</w:t>
            </w:r>
          </w:p>
        </w:tc>
      </w:tr>
      <w:tr>
        <w:trPr>
          <w:cantSplit w:val="0"/>
          <w:tblHeader w:val="0"/>
        </w:trPr>
        <w:tc>
          <w:tcPr/>
          <w:p w:rsidR="00000000" w:rsidDel="00000000" w:rsidP="00000000" w:rsidRDefault="00000000" w:rsidRPr="00000000" w14:paraId="0000007C">
            <w:pPr>
              <w:rPr/>
            </w:pPr>
            <w:r w:rsidDel="00000000" w:rsidR="00000000" w:rsidRPr="00000000">
              <w:rPr>
                <w:b w:val="1"/>
                <w:bCs w:val="1"/>
                <w:rtl w:val="0"/>
              </w:rPr>
              <w:t xml:space="preserve">1. Enfoques Predictivo vs. Ágil</w:t>
            </w:r>
            <w:r w:rsidDel="00000000" w:rsidR="00000000" w:rsidRPr="00000000">
              <w:rPr>
                <w:rtl w:val="0"/>
              </w:rPr>
            </w:r>
          </w:p>
        </w:tc>
        <w:tc>
          <w:tcPr/>
          <w:p w:rsidR="00000000" w:rsidDel="00000000" w:rsidP="00000000" w:rsidRDefault="00000000" w:rsidRPr="00000000" w14:paraId="0000007D">
            <w:pPr>
              <w:rPr/>
            </w:pPr>
            <w:sdt>
              <w:sdtPr>
                <w:alias w:val="Estado de Cobertura"/>
                <w:id w:val="1369220081"/>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7E">
            <w:pPr>
              <w:rPr/>
            </w:pPr>
            <w:sdt>
              <w:sdtPr>
                <w:alias w:val="Ubicación en el Ensayo"/>
                <w:id w:val="-1346063646"/>
                <w:dropDownList w:lastValue="Sección 2 - Eje 1">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1</w:t>
                </w:r>
              </w:sdtContent>
            </w:sdt>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Royce (1970) / Beck (2001)</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2. Estructura de Desglose de Trabajo (EDT)</w:t>
            </w:r>
            <w:r w:rsidDel="00000000" w:rsidR="00000000" w:rsidRPr="00000000">
              <w:rPr>
                <w:rtl w:val="0"/>
              </w:rPr>
            </w:r>
          </w:p>
        </w:tc>
        <w:tc>
          <w:tcPr/>
          <w:p w:rsidR="00000000" w:rsidDel="00000000" w:rsidP="00000000" w:rsidRDefault="00000000" w:rsidRPr="00000000" w14:paraId="00000081">
            <w:pPr>
              <w:rPr/>
            </w:pPr>
            <w:sdt>
              <w:sdtPr>
                <w:alias w:val="Estado de Cobertura"/>
                <w:id w:val="100537467"/>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82">
            <w:pPr>
              <w:rPr/>
            </w:pPr>
            <w:sdt>
              <w:sdtPr>
                <w:alias w:val="Ubicación en el Ensayo"/>
                <w:id w:val="598125471"/>
                <w:dropDownList w:lastValue="Sección 2 - Eje 2">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2</w:t>
                </w:r>
              </w:sdtContent>
            </w:sdt>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PMI (2019)</w:t>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3. Historias de Usuario</w:t>
            </w:r>
            <w:r w:rsidDel="00000000" w:rsidR="00000000" w:rsidRPr="00000000">
              <w:rPr>
                <w:rtl w:val="0"/>
              </w:rPr>
            </w:r>
          </w:p>
        </w:tc>
        <w:tc>
          <w:tcPr/>
          <w:p w:rsidR="00000000" w:rsidDel="00000000" w:rsidP="00000000" w:rsidRDefault="00000000" w:rsidRPr="00000000" w14:paraId="00000085">
            <w:pPr>
              <w:rPr/>
            </w:pPr>
            <w:sdt>
              <w:sdtPr>
                <w:alias w:val="Estado de Cobertura"/>
                <w:id w:val="-1094723852"/>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86">
            <w:pPr>
              <w:rPr/>
            </w:pPr>
            <w:sdt>
              <w:sdtPr>
                <w:alias w:val="Ubicación en el Ensayo"/>
                <w:id w:val="799596632"/>
                <w:dropDownList w:lastValue="Sección 2 - Eje 2">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2</w:t>
                </w:r>
              </w:sdtContent>
            </w:sdt>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Cohn (2004)</w:t>
            </w:r>
          </w:p>
        </w:tc>
      </w:tr>
      <w:tr>
        <w:trPr>
          <w:cantSplit w:val="0"/>
          <w:tblHeader w:val="0"/>
        </w:trPr>
        <w:tc>
          <w:tcPr/>
          <w:p w:rsidR="00000000" w:rsidDel="00000000" w:rsidP="00000000" w:rsidRDefault="00000000" w:rsidRPr="00000000" w14:paraId="00000088">
            <w:pPr>
              <w:rPr/>
            </w:pPr>
            <w:r w:rsidDel="00000000" w:rsidR="00000000" w:rsidRPr="00000000">
              <w:rPr>
                <w:b w:val="1"/>
                <w:bCs w:val="1"/>
                <w:rtl w:val="0"/>
              </w:rPr>
              <w:t xml:space="preserve">4. Priorización MoSCoW</w:t>
            </w:r>
            <w:r w:rsidDel="00000000" w:rsidR="00000000" w:rsidRPr="00000000">
              <w:rPr>
                <w:rtl w:val="0"/>
              </w:rPr>
            </w:r>
          </w:p>
        </w:tc>
        <w:tc>
          <w:tcPr/>
          <w:p w:rsidR="00000000" w:rsidDel="00000000" w:rsidP="00000000" w:rsidRDefault="00000000" w:rsidRPr="00000000" w14:paraId="00000089">
            <w:pPr>
              <w:rPr/>
            </w:pPr>
            <w:sdt>
              <w:sdtPr>
                <w:alias w:val="Estado de Cobertura"/>
                <w:id w:val="381437910"/>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8A">
            <w:pPr>
              <w:rPr/>
            </w:pPr>
            <w:sdt>
              <w:sdtPr>
                <w:alias w:val="Ubicación en el Ensayo"/>
                <w:id w:val="-1055280434"/>
                <w:dropDownList w:lastValue="Sección 2 - Eje 2">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2</w:t>
                </w:r>
              </w:sdtContent>
            </w:sdt>
            <w:r w:rsidDel="00000000" w:rsidR="00000000" w:rsidRPr="00000000">
              <w:rPr>
                <w:rtl w:val="0"/>
              </w:rPr>
            </w:r>
          </w:p>
        </w:tc>
        <w:tc>
          <w:tcPr/>
          <w:p w:rsidR="00000000" w:rsidDel="00000000" w:rsidP="00000000" w:rsidRDefault="00000000" w:rsidRPr="00000000" w14:paraId="0000008B">
            <w:pPr>
              <w:rPr/>
            </w:pPr>
            <w:r w:rsidDel="00000000" w:rsidR="00000000" w:rsidRPr="00000000">
              <w:rPr>
                <w:rtl w:val="0"/>
              </w:rPr>
              <w:t xml:space="preserve">Clegg &amp; Barker (1994)</w:t>
            </w:r>
          </w:p>
        </w:tc>
      </w:tr>
      <w:tr>
        <w:trPr>
          <w:cantSplit w:val="0"/>
          <w:tblHeader w:val="0"/>
        </w:trPr>
        <w:tc>
          <w:tcPr/>
          <w:p w:rsidR="00000000" w:rsidDel="00000000" w:rsidP="00000000" w:rsidRDefault="00000000" w:rsidRPr="00000000" w14:paraId="0000008C">
            <w:pPr>
              <w:rPr/>
            </w:pPr>
            <w:r w:rsidDel="00000000" w:rsidR="00000000" w:rsidRPr="00000000">
              <w:rPr>
                <w:b w:val="1"/>
                <w:bCs w:val="1"/>
                <w:rtl w:val="0"/>
              </w:rPr>
              <w:t xml:space="preserve">5. Diagrama de Gantt</w:t>
            </w:r>
            <w:r w:rsidDel="00000000" w:rsidR="00000000" w:rsidRPr="00000000">
              <w:rPr>
                <w:rtl w:val="0"/>
              </w:rPr>
            </w:r>
          </w:p>
        </w:tc>
        <w:tc>
          <w:tcPr/>
          <w:p w:rsidR="00000000" w:rsidDel="00000000" w:rsidP="00000000" w:rsidRDefault="00000000" w:rsidRPr="00000000" w14:paraId="0000008D">
            <w:pPr>
              <w:rPr/>
            </w:pPr>
            <w:sdt>
              <w:sdtPr>
                <w:alias w:val="Estado de Cobertura"/>
                <w:id w:val="33887201"/>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8E">
            <w:pPr>
              <w:rPr/>
            </w:pPr>
            <w:sdt>
              <w:sdtPr>
                <w:alias w:val="Ubicación en el Ensayo"/>
                <w:id w:val="2065978956"/>
                <w:dropDownList w:lastValue="Sección 2 - Eje 3">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3</w:t>
                </w:r>
              </w:sdtContent>
            </w:sdt>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Gantt (1919)</w:t>
            </w:r>
          </w:p>
        </w:tc>
      </w:tr>
      <w:tr>
        <w:trPr>
          <w:cantSplit w:val="0"/>
          <w:tblHeader w:val="0"/>
        </w:trPr>
        <w:tc>
          <w:tcPr/>
          <w:p w:rsidR="00000000" w:rsidDel="00000000" w:rsidP="00000000" w:rsidRDefault="00000000" w:rsidRPr="00000000" w14:paraId="00000090">
            <w:pPr>
              <w:rPr/>
            </w:pPr>
            <w:r w:rsidDel="00000000" w:rsidR="00000000" w:rsidRPr="00000000">
              <w:rPr>
                <w:b w:val="1"/>
                <w:bCs w:val="1"/>
                <w:rtl w:val="0"/>
              </w:rPr>
              <w:t xml:space="preserve">6. Método de Ruta Crítica (CPM)</w:t>
            </w:r>
            <w:r w:rsidDel="00000000" w:rsidR="00000000" w:rsidRPr="00000000">
              <w:rPr>
                <w:rtl w:val="0"/>
              </w:rPr>
            </w:r>
          </w:p>
        </w:tc>
        <w:tc>
          <w:tcPr/>
          <w:p w:rsidR="00000000" w:rsidDel="00000000" w:rsidP="00000000" w:rsidRDefault="00000000" w:rsidRPr="00000000" w14:paraId="00000091">
            <w:pPr>
              <w:rPr/>
            </w:pPr>
            <w:sdt>
              <w:sdtPr>
                <w:alias w:val="Estado de Cobertura"/>
                <w:id w:val="-1561334033"/>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92">
            <w:pPr>
              <w:rPr/>
            </w:pPr>
            <w:sdt>
              <w:sdtPr>
                <w:alias w:val="Ubicación en el Ensayo"/>
                <w:id w:val="929402677"/>
                <w:dropDownList w:lastValue="Sección 2 - Eje 3">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3</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Kelley &amp; Walker (1959)</w:t>
            </w:r>
          </w:p>
        </w:tc>
      </w:tr>
      <w:tr>
        <w:trPr>
          <w:cantSplit w:val="0"/>
          <w:tblHeader w:val="0"/>
        </w:trPr>
        <w:tc>
          <w:tcPr/>
          <w:p w:rsidR="00000000" w:rsidDel="00000000" w:rsidP="00000000" w:rsidRDefault="00000000" w:rsidRPr="00000000" w14:paraId="00000094">
            <w:pPr>
              <w:rPr/>
            </w:pPr>
            <w:r w:rsidDel="00000000" w:rsidR="00000000" w:rsidRPr="00000000">
              <w:rPr>
                <w:b w:val="1"/>
                <w:bCs w:val="1"/>
                <w:rtl w:val="0"/>
              </w:rPr>
              <w:t xml:space="preserve">7. Estimación PERT</w:t>
            </w:r>
            <w:r w:rsidDel="00000000" w:rsidR="00000000" w:rsidRPr="00000000">
              <w:rPr>
                <w:rtl w:val="0"/>
              </w:rPr>
            </w:r>
          </w:p>
        </w:tc>
        <w:tc>
          <w:tcPr/>
          <w:p w:rsidR="00000000" w:rsidDel="00000000" w:rsidP="00000000" w:rsidRDefault="00000000" w:rsidRPr="00000000" w14:paraId="00000095">
            <w:pPr>
              <w:rPr/>
            </w:pPr>
            <w:sdt>
              <w:sdtPr>
                <w:alias w:val="Estado de Cobertura"/>
                <w:id w:val="-1337613400"/>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96">
            <w:pPr>
              <w:rPr/>
            </w:pPr>
            <w:sdt>
              <w:sdtPr>
                <w:alias w:val="Ubicación en el Ensayo"/>
                <w:id w:val="-1655727495"/>
                <w:dropDownList w:lastValue="Sección 2 - Eje 3">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3</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Malcolm et al. (1959)</w:t>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8. Línea Base del Proyecto</w:t>
            </w:r>
            <w:r w:rsidDel="00000000" w:rsidR="00000000" w:rsidRPr="00000000">
              <w:rPr>
                <w:rtl w:val="0"/>
              </w:rPr>
            </w:r>
          </w:p>
        </w:tc>
        <w:tc>
          <w:tcPr/>
          <w:p w:rsidR="00000000" w:rsidDel="00000000" w:rsidP="00000000" w:rsidRDefault="00000000" w:rsidRPr="00000000" w14:paraId="00000099">
            <w:pPr>
              <w:rPr/>
            </w:pPr>
            <w:sdt>
              <w:sdtPr>
                <w:alias w:val="Estado de Cobertura"/>
                <w:id w:val="-1235707643"/>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9A">
            <w:pPr>
              <w:rPr/>
            </w:pPr>
            <w:sdt>
              <w:sdtPr>
                <w:alias w:val="Ubicación en el Ensayo"/>
                <w:id w:val="-174300611"/>
                <w:dropDownList w:lastValue="Sección 2 - Eje 4">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4</w:t>
                </w:r>
              </w:sdtContent>
            </w:sdt>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t xml:space="preserve">ISO 21502 (2020)</w:t>
            </w:r>
          </w:p>
        </w:tc>
      </w:tr>
      <w:tr>
        <w:trPr>
          <w:cantSplit w:val="0"/>
          <w:tblHeader w:val="0"/>
        </w:trPr>
        <w:tc>
          <w:tcPr/>
          <w:p w:rsidR="00000000" w:rsidDel="00000000" w:rsidP="00000000" w:rsidRDefault="00000000" w:rsidRPr="00000000" w14:paraId="0000009C">
            <w:pPr>
              <w:rPr/>
            </w:pPr>
            <w:r w:rsidDel="00000000" w:rsidR="00000000" w:rsidRPr="00000000">
              <w:rPr>
                <w:b w:val="1"/>
                <w:bCs w:val="1"/>
                <w:rtl w:val="0"/>
              </w:rPr>
              <w:t xml:space="preserve">9. Metodología Kanban</w:t>
            </w:r>
            <w:r w:rsidDel="00000000" w:rsidR="00000000" w:rsidRPr="00000000">
              <w:rPr>
                <w:rtl w:val="0"/>
              </w:rPr>
            </w:r>
          </w:p>
        </w:tc>
        <w:tc>
          <w:tcPr/>
          <w:p w:rsidR="00000000" w:rsidDel="00000000" w:rsidP="00000000" w:rsidRDefault="00000000" w:rsidRPr="00000000" w14:paraId="0000009D">
            <w:pPr>
              <w:rPr/>
            </w:pPr>
            <w:sdt>
              <w:sdtPr>
                <w:alias w:val="Estado de Cobertura"/>
                <w:id w:val="-1082486084"/>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9E">
            <w:pPr>
              <w:rPr/>
            </w:pPr>
            <w:sdt>
              <w:sdtPr>
                <w:alias w:val="Ubicación en el Ensayo"/>
                <w:id w:val="60547204"/>
                <w:dropDownList w:lastValue="Sección 2 - Eje 4">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4</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Anderson (2010) / Ohno (1988)</w:t>
            </w:r>
          </w:p>
        </w:tc>
      </w:tr>
      <w:tr>
        <w:trPr>
          <w:cantSplit w:val="0"/>
          <w:tblHeader w:val="0"/>
        </w:trPr>
        <w:tc>
          <w:tcPr/>
          <w:p w:rsidR="00000000" w:rsidDel="00000000" w:rsidP="00000000" w:rsidRDefault="00000000" w:rsidRPr="00000000" w14:paraId="000000A0">
            <w:pPr>
              <w:rPr/>
            </w:pPr>
            <w:r w:rsidDel="00000000" w:rsidR="00000000" w:rsidRPr="00000000">
              <w:rPr>
                <w:b w:val="1"/>
                <w:bCs w:val="1"/>
                <w:rtl w:val="0"/>
              </w:rPr>
              <w:t xml:space="preserve">10. Monitoreo de Tickets Jira</w:t>
            </w:r>
            <w:r w:rsidDel="00000000" w:rsidR="00000000" w:rsidRPr="00000000">
              <w:rPr>
                <w:rtl w:val="0"/>
              </w:rPr>
            </w:r>
          </w:p>
        </w:tc>
        <w:tc>
          <w:tcPr/>
          <w:p w:rsidR="00000000" w:rsidDel="00000000" w:rsidP="00000000" w:rsidRDefault="00000000" w:rsidRPr="00000000" w14:paraId="000000A1">
            <w:pPr>
              <w:rPr/>
            </w:pPr>
            <w:sdt>
              <w:sdtPr>
                <w:alias w:val="Estado de Cobertura"/>
                <w:id w:val="102732852"/>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A2">
            <w:pPr>
              <w:rPr/>
            </w:pPr>
            <w:sdt>
              <w:sdtPr>
                <w:alias w:val="Ubicación en el Ensayo"/>
                <w:id w:val="-1847092992"/>
                <w:dropDownList w:lastValue="Sección 2 - Eje 4 &amp; Sec. 4">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4 &amp; Sec. 4</w:t>
                </w:r>
              </w:sdtContent>
            </w:sdt>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Mapeo KAN-1 a KAN-9</w:t>
            </w:r>
          </w:p>
        </w:tc>
      </w:tr>
      <w:tr>
        <w:trPr>
          <w:cantSplit w:val="0"/>
          <w:tblHeader w:val="0"/>
        </w:trPr>
        <w:tc>
          <w:tcPr/>
          <w:p w:rsidR="00000000" w:rsidDel="00000000" w:rsidP="00000000" w:rsidRDefault="00000000" w:rsidRPr="00000000" w14:paraId="000000A4">
            <w:pPr>
              <w:rPr/>
            </w:pPr>
            <w:r w:rsidDel="00000000" w:rsidR="00000000" w:rsidRPr="00000000">
              <w:rPr>
                <w:b w:val="1"/>
                <w:bCs w:val="1"/>
                <w:rtl w:val="0"/>
              </w:rPr>
              <w:t xml:space="preserve">11. Roadmap Tecnológico</w:t>
            </w:r>
            <w:r w:rsidDel="00000000" w:rsidR="00000000" w:rsidRPr="00000000">
              <w:rPr>
                <w:rtl w:val="0"/>
              </w:rPr>
            </w:r>
          </w:p>
        </w:tc>
        <w:tc>
          <w:tcPr/>
          <w:p w:rsidR="00000000" w:rsidDel="00000000" w:rsidP="00000000" w:rsidRDefault="00000000" w:rsidRPr="00000000" w14:paraId="000000A5">
            <w:pPr>
              <w:rPr/>
            </w:pPr>
            <w:sdt>
              <w:sdtPr>
                <w:alias w:val="Estado de Cobertura"/>
                <w:id w:val="-873225740"/>
                <w:dropDownList w:lastValue="Cubierto">
                  <w:listItem w:displayText="Cubierto" w:value="Cubierto"/>
                </w:dropDownList>
              </w:sdtPr>
              <w:sdtContent>
                <w:r w:rsidDel="00000000" w:rsidR="00000000" w:rsidRPr="00000000">
                  <w:rPr>
                    <w:shd w:fill="auto" w:val="clear"/>
                  </w:rPr>
                  <w:t xml:space="preserve">Cubierto</w:t>
                </w:r>
              </w:sdtContent>
            </w:sdt>
            <w:r w:rsidDel="00000000" w:rsidR="00000000" w:rsidRPr="00000000">
              <w:rPr>
                <w:rtl w:val="0"/>
              </w:rPr>
            </w:r>
          </w:p>
        </w:tc>
        <w:tc>
          <w:tcPr/>
          <w:p w:rsidR="00000000" w:rsidDel="00000000" w:rsidP="00000000" w:rsidRDefault="00000000" w:rsidRPr="00000000" w14:paraId="000000A6">
            <w:pPr>
              <w:rPr/>
            </w:pPr>
            <w:sdt>
              <w:sdtPr>
                <w:alias w:val="Ubicación en el Ensayo"/>
                <w:id w:val="1384602184"/>
                <w:dropDownList w:lastValue="Sección 2 - Eje 4">
                  <w:listItem w:displayText="Sección 2 - Eje 1" w:value="Sección 2 - Eje 1"/>
                  <w:listItem w:displayText="Sección 2 - Eje 2" w:value="Sección 2 - Eje 2"/>
                  <w:listItem w:displayText="Sección 2 - Eje 3" w:value="Sección 2 - Eje 3"/>
                  <w:listItem w:displayText="Sección 2 - Eje 4" w:value="Sección 2 - Eje 4"/>
                  <w:listItem w:displayText="Sección 2 - Eje 4 &amp; Sec. 4" w:value="Sección 2 - Eje 4 &amp; Sec. 4"/>
                </w:dropDownList>
              </w:sdtPr>
              <w:sdtContent>
                <w:r w:rsidDel="00000000" w:rsidR="00000000" w:rsidRPr="00000000">
                  <w:rPr>
                    <w:shd w:fill="auto" w:val="clear"/>
                  </w:rPr>
                  <w:t xml:space="preserve">Sección 2 - Eje 4</w:t>
                </w:r>
              </w:sdtContent>
            </w:sdt>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t xml:space="preserve">Phaal et al. (2004)</w:t>
            </w:r>
          </w:p>
        </w:tc>
      </w:tr>
    </w:tbl>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Title"/>
        <w:rPr/>
      </w:pPr>
      <w:bookmarkStart w:colFirst="0" w:colLast="0" w:name="_29piz189fcaz" w:id="15"/>
      <w:bookmarkEnd w:id="15"/>
      <w:r w:rsidDel="00000000" w:rsidR="00000000" w:rsidRPr="00000000">
        <w:rPr>
          <w:rtl w:val="0"/>
        </w:rPr>
        <w:t xml:space="preserve">ANEXO C: DECLARACIÓN DE USO RESPONSABLE DE IA</w:t>
      </w:r>
    </w:p>
    <w:p w:rsidR="00000000" w:rsidDel="00000000" w:rsidP="00000000" w:rsidRDefault="00000000" w:rsidRPr="00000000" w14:paraId="000000AB">
      <w:pPr>
        <w:rPr/>
      </w:pPr>
      <w:r w:rsidDel="00000000" w:rsidR="00000000" w:rsidRPr="00000000">
        <w:rPr>
          <w:b w:val="1"/>
          <w:bCs w:val="1"/>
          <w:rtl w:val="0"/>
        </w:rPr>
        <w:t xml:space="preserve">Herramienta:</w:t>
      </w:r>
      <w:r w:rsidDel="00000000" w:rsidR="00000000" w:rsidRPr="00000000">
        <w:rPr>
          <w:rtl w:val="0"/>
        </w:rPr>
        <w:t xml:space="preserve"> Asistente IA (Gemini).</w:t>
        <w:br w:type="textWrapping"/>
      </w:r>
      <w:r w:rsidDel="00000000" w:rsidR="00000000" w:rsidRPr="00000000">
        <w:rPr>
          <w:b w:val="1"/>
          <w:bCs w:val="1"/>
          <w:rtl w:val="0"/>
        </w:rPr>
        <w:t xml:space="preserve">Uso:</w:t>
      </w:r>
      <w:r w:rsidDel="00000000" w:rsidR="00000000" w:rsidRPr="00000000">
        <w:rPr>
          <w:rtl w:val="0"/>
        </w:rPr>
        <w:t xml:space="preserve"> Formato, estructura, integración de la matriz analítica y verificación de cohesión estilística.</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Firma: </w:t>
      </w:r>
      <w:r w:rsidDel="00000000" w:rsidR="00000000" w:rsidRPr="00000000">
        <w:rPr>
          <w:rtl w:val="0"/>
        </w:rPr>
        <w:t xml:space="preserve">Person</w:t>
      </w:r>
      <w:r w:rsidDel="00000000" w:rsidR="00000000" w:rsidRPr="00000000">
        <w:rPr>
          <w:rtl w:val="0"/>
        </w:rPr>
        <w:br w:type="textWrapping"/>
        <w:t xml:space="preserve">Aragón Deras Rodolfo Emmanuel</w:t>
        <w:br w:type="textWrapping"/>
        <w:t xml:space="preserve">Desarrollo Backend en Python y Control Transaccional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4292f"/>
        <w:sz w:val="22"/>
        <w:szCs w:val="22"/>
        <w:lang w:val="es_419"/>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erriweather" w:cs="Merriweather" w:eastAsia="Merriweather" w:hAnsi="Merriweath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Merriweather" w:cs="Merriweather" w:eastAsia="Merriweather" w:hAnsi="Merriweath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4"/>
      <w:szCs w:val="24"/>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0"/>
        <w:szCs w:val="20"/>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