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20"/>
        <w:jc w:val="center"/>
      </w:pPr>
      <w:r>
        <w:rPr>
          <w:rFonts w:ascii="Times New Roman" w:cs="Times New Roman" w:eastAsia="Times New Roman" w:hAnsi="Times New Roman"/>
          <w:b/>
          <w:bCs/>
          <w:sz w:val="32"/>
          <w:szCs w:val="32"/>
        </w:rPr>
        <w:t xml:space="preserve">Datos que no se improvisan: por qué la persistencia en PostgreSQL exige ruta crítica antes que agilidad</w:t>
      </w:r>
    </w:p>
    <w:p>
      <w:pPr>
        <w:spacing w:after="120"/>
        <w:jc w:val="center"/>
      </w:pPr>
      <w:r>
        <w:rPr>
          <w:rFonts w:ascii="Times New Roman" w:cs="Times New Roman" w:eastAsia="Times New Roman" w:hAnsi="Times New Roman"/>
          <w:b/>
          <w:bCs/>
          <w:sz w:val="24"/>
          <w:szCs w:val="24"/>
        </w:rPr>
        <w:t xml:space="preserve">Ensayo crítico individual – Actividad 03-A: Los fundamentos de la planificación de proyectos</w:t>
      </w:r>
    </w:p>
    <w:p>
      <w:pPr>
        <w:spacing w:after="120"/>
        <w:jc w:val="center"/>
      </w:pPr>
      <w:r>
        <w:rPr>
          <w:rFonts w:ascii="Times New Roman" w:cs="Times New Roman" w:eastAsia="Times New Roman" w:hAnsi="Times New Roman"/>
          <w:sz w:val="24"/>
          <w:szCs w:val="24"/>
        </w:rPr>
        <w:t xml:space="preserve">Rodríguez José · Backend &amp; Infrastructure Engineer · Equipo 06 · Proyecto Integrador I (ML-Nav &amp; Logistics: Consola Web de Patio y Arquitectura CEDIS)</w:t>
      </w:r>
    </w:p>
    <w:p>
      <w:pPr>
        <w:pStyle w:val="Heading2"/>
        <w:keepNext/>
        <w:spacing w:after="160" w:before="360"/>
      </w:pPr>
      <w:r>
        <w:rPr>
          <w:rFonts w:ascii="Times New Roman" w:cs="Times New Roman" w:eastAsia="Times New Roman" w:hAnsi="Times New Roman"/>
          <w:b/>
          <w:bCs/>
          <w:sz w:val="28"/>
          <w:szCs w:val="28"/>
        </w:rPr>
        <w:t xml:space="preserve">Resumen</w:t>
      </w:r>
    </w:p>
    <w:p>
      <w:pPr>
        <w:spacing w:after="120" w:line="360"/>
        <w:jc w:val="both"/>
      </w:pPr>
      <w:r>
        <w:rPr>
          <w:rFonts w:ascii="Times New Roman" w:cs="Times New Roman" w:eastAsia="Times New Roman" w:hAnsi="Times New Roman"/>
          <w:sz w:val="24"/>
          <w:szCs w:val="24"/>
        </w:rPr>
        <w:t xml:space="preserve">Este ensayo revisa trece referentes de planificación (Boehm, PMBOK 7, Manifiesto Ágil, ISO 29148, EDT, MoSCoW, Gantt, CPM, PERT, falacia de planificación, control de cambios, Kanban y Roadmap) aplicados a la capa de datos de la Consola Web de Patio, que se trabaja exclusivamente en PostgreSQL: modelo de datos, SQL transaccional y el registro simple de cuatro listas. Sostengo que el diseño de la persistencia, con sus transacciones y su control de concurrencia, se debe ordenar con CPM antes de trabajar de forma ágil. También respondo a quienes dicen que el esquema y las transacciones se pueden improvisar y corregir después, y aplico todo a mis tareas 1.2.3, 1.3.1 y 1.3.2.</w:t>
      </w:r>
    </w:p>
    <w:p>
      <w:pPr>
        <w:spacing w:after="120" w:line="360"/>
        <w:jc w:val="both"/>
      </w:pPr>
      <w:r>
        <w:rPr>
          <w:rFonts w:ascii="Times New Roman" w:cs="Times New Roman" w:eastAsia="Times New Roman" w:hAnsi="Times New Roman"/>
          <w:b/>
          <w:bCs/>
          <w:sz w:val="24"/>
          <w:szCs w:val="24"/>
        </w:rPr>
        <w:t xml:space="preserve">Palabras clave:</w:t>
      </w:r>
      <w:r>
        <w:rPr>
          <w:rFonts w:ascii="Times New Roman" w:cs="Times New Roman" w:eastAsia="Times New Roman" w:hAnsi="Times New Roman"/>
          <w:sz w:val="24"/>
          <w:szCs w:val="24"/>
        </w:rPr>
        <w:t xml:space="preserve"> ruta crítica, CPM, PostgreSQL, transacciones, concurrencia, consistencia de datos, planificación híbrida.</w:t>
      </w:r>
    </w:p>
    <w:p>
      <w:pPr>
        <w:pStyle w:val="Heading2"/>
        <w:keepNext/>
        <w:spacing w:after="160" w:before="360"/>
      </w:pPr>
      <w:r>
        <w:rPr>
          <w:rFonts w:ascii="Times New Roman" w:cs="Times New Roman" w:eastAsia="Times New Roman" w:hAnsi="Times New Roman"/>
          <w:b/>
          <w:bCs/>
          <w:sz w:val="28"/>
          <w:szCs w:val="28"/>
        </w:rPr>
        <w:t xml:space="preserve">1. Introducción</w:t>
      </w:r>
    </w:p>
    <w:p>
      <w:pPr>
        <w:spacing w:after="120" w:line="360"/>
        <w:jc w:val="both"/>
      </w:pPr>
      <w:r>
        <w:rPr>
          <w:rFonts w:ascii="Times New Roman" w:cs="Times New Roman" w:eastAsia="Times New Roman" w:hAnsi="Times New Roman"/>
          <w:sz w:val="24"/>
          <w:szCs w:val="24"/>
        </w:rPr>
        <w:t xml:space="preserve">En un patio logístico, un cajón mal registrado hace perder tiempo: camiones esperando, andenes vacíos y decisiones basadas en información equivocada. Casi siempre el problema no es la pantalla, sino que los datos no coinciden con lo que pasa en el patio. El proyecto es una consola web de patio y mi parte es la base de datos: PostgreSQL guarda el estado de los cajones, los andenes y las demás listas, y toda la consola depende de que esos datos sean correctos y consistentes. No hay app móvil.</w:t>
      </w:r>
    </w:p>
    <w:p>
      <w:pPr>
        <w:spacing w:after="120" w:line="360"/>
        <w:jc w:val="both"/>
      </w:pPr>
      <w:r>
        <w:rPr>
          <w:rFonts w:ascii="Times New Roman" w:cs="Times New Roman" w:eastAsia="Times New Roman" w:hAnsi="Times New Roman"/>
          <w:sz w:val="24"/>
          <w:szCs w:val="24"/>
        </w:rPr>
        <w:t xml:space="preserve">Esta capa tiene un problema para planificar: sus piezas dependen unas de otras. No se puede escribir SQL transaccional sin un modelo de datos, ni registrar las listas sin las transacciones, ni probar la concurrencia sin las listas. La pregunta que guía este ensayo es: </w:t>
      </w:r>
      <w:r>
        <w:rPr>
          <w:rFonts w:ascii="Times New Roman" w:cs="Times New Roman" w:eastAsia="Times New Roman" w:hAnsi="Times New Roman"/>
          <w:b/>
          <w:bCs/>
          <w:sz w:val="24"/>
          <w:szCs w:val="24"/>
        </w:rPr>
        <w:t xml:space="preserve">¿puede un equipo que construye la capa de datos transaccional en PostgreSQL planificarla solo con ciclos ágiles, o necesita antes un análisis formal de dependencias?</w:t>
      </w:r>
    </w:p>
    <w:p>
      <w:pPr>
        <w:spacing w:after="120" w:line="360"/>
        <w:jc w:val="both"/>
      </w:pPr>
      <w:r>
        <w:rPr>
          <w:rFonts w:ascii="Times New Roman" w:cs="Times New Roman" w:eastAsia="Times New Roman" w:hAnsi="Times New Roman"/>
          <w:b/>
          <w:bCs/>
          <w:sz w:val="24"/>
          <w:szCs w:val="24"/>
        </w:rPr>
        <w:t xml:space="preserve">Tesis: el diseño de la persistencia en PostgreSQL (esquema, transacciones y control de concurrencia) necesita un análisis CPM de ruta crítica en el backend antes de adoptar flujos ágiles. La agilidad sirve para aprender de lo incierto; el CPM protege el orden de lo que depende de otra cosa.</w:t>
      </w:r>
    </w:p>
    <w:p>
      <w:pPr>
        <w:spacing w:after="120" w:line="360"/>
        <w:jc w:val="both"/>
      </w:pPr>
      <w:r>
        <w:rPr>
          <w:rFonts w:ascii="Times New Roman" w:cs="Times New Roman" w:eastAsia="Times New Roman" w:hAnsi="Times New Roman"/>
          <w:sz w:val="24"/>
          <w:szCs w:val="24"/>
        </w:rPr>
        <w:t xml:space="preserve">En cada tema uso cinco elementos: (1) concepto, (2) postura del autor, (3) fortaleza, (4) limitación y (5) cómo lo uso en mi backend. Mi lista tiene trece referentes; los agrupé en once temas, uniendo Gantt con CPM y PERT con la falacia de planificación porque se relacionan mucho.</w:t>
      </w:r>
    </w:p>
    <w:p>
      <w:pPr>
        <w:pStyle w:val="Heading2"/>
        <w:keepNext/>
        <w:spacing w:after="160" w:before="360"/>
      </w:pPr>
      <w:r>
        <w:rPr>
          <w:rFonts w:ascii="Times New Roman" w:cs="Times New Roman" w:eastAsia="Times New Roman" w:hAnsi="Times New Roman"/>
          <w:b/>
          <w:bCs/>
          <w:sz w:val="28"/>
          <w:szCs w:val="28"/>
        </w:rPr>
        <w:t xml:space="preserve">2. Desarrollo por ejes</w:t>
      </w:r>
    </w:p>
    <w:p>
      <w:pPr>
        <w:pStyle w:val="Heading3"/>
        <w:keepNext/>
        <w:spacing w:after="120" w:before="240"/>
      </w:pPr>
      <w:r>
        <w:rPr>
          <w:rFonts w:ascii="Times New Roman" w:cs="Times New Roman" w:eastAsia="Times New Roman" w:hAnsi="Times New Roman"/>
          <w:b/>
          <w:bCs/>
          <w:i/>
          <w:iCs/>
          <w:sz w:val="26"/>
          <w:szCs w:val="26"/>
        </w:rPr>
        <w:t xml:space="preserve">Eje 1. Marcos de ciclo de vida y gestión</w:t>
      </w:r>
    </w:p>
    <w:p>
      <w:pPr>
        <w:spacing w:after="120" w:line="360"/>
        <w:jc w:val="both"/>
      </w:pPr>
      <w:r>
        <w:rPr>
          <w:rFonts w:ascii="Times New Roman" w:cs="Times New Roman" w:eastAsia="Times New Roman" w:hAnsi="Times New Roman"/>
          <w:b/>
          <w:bCs/>
          <w:sz w:val="24"/>
          <w:szCs w:val="24"/>
        </w:rPr>
        <w:t xml:space="preserve">Tema 1. Modelo en Espiral (Boehm, 1988).</w:t>
      </w:r>
      <w:r>
        <w:rPr>
          <w:rFonts w:ascii="Times New Roman" w:cs="Times New Roman" w:eastAsia="Times New Roman" w:hAnsi="Times New Roman"/>
          <w:sz w:val="24"/>
          <w:szCs w:val="24"/>
        </w:rPr>
        <w:t xml:space="preserve"> Es un ciclo que se repite por vueltas: en cada una se fijan objetivos, se evalúan riesgos, se desarrolla, se prueba y se planea la siguiente. Boehm dice que el riesgo, y no el documento ni el código, debe decidir el siguiente paso. Obliga a atacar primero lo más peligroso, y eso sirve cuando hay un requisito de latencia crítico. Pide experiencia para evaluar riesgos y puede salir caro en equipos pequeños. Lo uso para probar pronto en PostgreSQL el caso más riesgoso, la asignación simultánea de un mismo cajón, porque ese es el mayor riesgo del proyecto.</w:t>
      </w:r>
    </w:p>
    <w:p>
      <w:pPr>
        <w:spacing w:after="120" w:line="360"/>
        <w:jc w:val="both"/>
      </w:pPr>
      <w:r>
        <w:rPr>
          <w:rFonts w:ascii="Times New Roman" w:cs="Times New Roman" w:eastAsia="Times New Roman" w:hAnsi="Times New Roman"/>
          <w:b/>
          <w:bCs/>
          <w:sz w:val="24"/>
          <w:szCs w:val="24"/>
        </w:rPr>
        <w:t xml:space="preserve">Tema 2. PMBOK 7 (PMI, 2021).</w:t>
      </w:r>
      <w:r>
        <w:rPr>
          <w:rFonts w:ascii="Times New Roman" w:cs="Times New Roman" w:eastAsia="Times New Roman" w:hAnsi="Times New Roman"/>
          <w:sz w:val="24"/>
          <w:szCs w:val="24"/>
        </w:rPr>
        <w:t xml:space="preserve"> Es una guía basada en principios y dominios de desempeño, no en procesos fijos. Propone adaptar el enfoque (predictivo, adaptativo o híbrido) al contexto del proyecto. Da permiso formal para mezclar métodos. Como es muy general, la decisión práctica queda en manos del equipo. Me respalda para usar un enfoque híbrido: ruta crítica en los cimientos e iteraciones en la interfaz.</w:t>
      </w:r>
    </w:p>
    <w:p>
      <w:pPr>
        <w:spacing w:after="120" w:line="360"/>
        <w:jc w:val="both"/>
      </w:pPr>
      <w:r>
        <w:rPr>
          <w:rFonts w:ascii="Times New Roman" w:cs="Times New Roman" w:eastAsia="Times New Roman" w:hAnsi="Times New Roman"/>
          <w:b/>
          <w:bCs/>
          <w:sz w:val="24"/>
          <w:szCs w:val="24"/>
        </w:rPr>
        <w:t xml:space="preserve">Tema 3. Manifiesto Ágil (Beck et al., 2001).</w:t>
      </w:r>
      <w:r>
        <w:rPr>
          <w:rFonts w:ascii="Times New Roman" w:cs="Times New Roman" w:eastAsia="Times New Roman" w:hAnsi="Times New Roman"/>
          <w:sz w:val="24"/>
          <w:szCs w:val="24"/>
        </w:rPr>
        <w:t xml:space="preserve"> Son cuatro valores y doce principios que priorizan a las personas, el software funcionando, la colaboración con el cliente y responder al cambio. Sus autores dicen que responder al cambio vale más que seguir un plan. Reduce el desperdicio cuando los requisitos cambian mucho, como pasa con la visualización del patio. No ofrece forma de calcular dependencias ni holguras. Sirve para la consola web, pero no alcanza para decidir si el modelo de datos debe existir antes que el SQL transaccional.</w:t>
      </w:r>
    </w:p>
    <w:p>
      <w:pPr>
        <w:spacing w:after="120" w:line="360"/>
        <w:jc w:val="both"/>
      </w:pPr>
      <w:r>
        <w:rPr>
          <w:rFonts w:ascii="Times New Roman" w:cs="Times New Roman" w:eastAsia="Times New Roman" w:hAnsi="Times New Roman"/>
          <w:b/>
          <w:bCs/>
          <w:sz w:val="24"/>
          <w:szCs w:val="24"/>
        </w:rPr>
        <w:t xml:space="preserve">Diálogo entre autores.</w:t>
      </w:r>
      <w:r>
        <w:rPr>
          <w:rFonts w:ascii="Times New Roman" w:cs="Times New Roman" w:eastAsia="Times New Roman" w:hAnsi="Times New Roman"/>
          <w:sz w:val="24"/>
          <w:szCs w:val="24"/>
        </w:rPr>
        <w:t xml:space="preserve"> Boehm (1988) y el Manifiesto Ágil coinciden en que planear todo de una sola vez es peligroso, pero no en el criterio. Boehm ordena las iteraciones por riesgo; Beck et al. (2001) las ordenan por el valor que ve el cliente. Beck et al. dirían que el riesgo se descubre entregando software. Boehm respondería que, si el riesgo es una condición de carrera, descubrirla en producción llega tarde. El PMI (2021) hace de árbitro sin decidir: acepta ambos enfoques y deja la elección al contexto. Yo me acerco a Boehm en el backend: el riesgo técnico se puede calcular antes, y la dependencia entre componentes es una propiedad del diseño, no una opinión del cliente.</w:t>
      </w:r>
    </w:p>
    <w:p>
      <w:pPr>
        <w:pStyle w:val="Heading3"/>
        <w:keepNext/>
        <w:spacing w:after="120" w:before="240"/>
      </w:pPr>
      <w:r>
        <w:rPr>
          <w:rFonts w:ascii="Times New Roman" w:cs="Times New Roman" w:eastAsia="Times New Roman" w:hAnsi="Times New Roman"/>
          <w:b/>
          <w:bCs/>
          <w:i/>
          <w:iCs/>
          <w:sz w:val="26"/>
          <w:szCs w:val="26"/>
        </w:rPr>
        <w:t xml:space="preserve">Eje 2. Requisitos, alcance y priorización</w:t>
      </w:r>
    </w:p>
    <w:p>
      <w:pPr>
        <w:spacing w:after="120" w:line="360"/>
        <w:jc w:val="both"/>
      </w:pPr>
      <w:r>
        <w:rPr>
          <w:rFonts w:ascii="Times New Roman" w:cs="Times New Roman" w:eastAsia="Times New Roman" w:hAnsi="Times New Roman"/>
          <w:b/>
          <w:bCs/>
          <w:sz w:val="24"/>
          <w:szCs w:val="24"/>
        </w:rPr>
        <w:t xml:space="preserve">Tema 4. ISO/IEC/IEEE 29148 (2018).</w:t>
      </w:r>
      <w:r>
        <w:rPr>
          <w:rFonts w:ascii="Times New Roman" w:cs="Times New Roman" w:eastAsia="Times New Roman" w:hAnsi="Times New Roman"/>
          <w:sz w:val="24"/>
          <w:szCs w:val="24"/>
        </w:rPr>
        <w:t xml:space="preserve"> Es una norma de ingeniería de requisitos que define cómo debe ser un buen requisito: necesario, verificable, claro y trazable. Sostiene que un requisito que no se puede verificar no se puede gestionar. Convierte «guardar bien» en «asignar un cajón sin doble asignación, comprobado con pruebas de concurrencia». Tanta formalidad puede frenar requisitos de interfaz que cambian seguido. La uso en los requisitos no funcionales del backend: consistencia, integridad de los datos y tiempo de respuesta de las consultas.</w:t>
      </w:r>
    </w:p>
    <w:p>
      <w:pPr>
        <w:spacing w:after="120" w:line="360"/>
        <w:jc w:val="both"/>
      </w:pPr>
      <w:r>
        <w:rPr>
          <w:rFonts w:ascii="Times New Roman" w:cs="Times New Roman" w:eastAsia="Times New Roman" w:hAnsi="Times New Roman"/>
          <w:b/>
          <w:bCs/>
          <w:sz w:val="24"/>
          <w:szCs w:val="24"/>
        </w:rPr>
        <w:t xml:space="preserve">Tema 5. EDT/WBS (PMI, 2019).</w:t>
      </w:r>
      <w:r>
        <w:rPr>
          <w:rFonts w:ascii="Times New Roman" w:cs="Times New Roman" w:eastAsia="Times New Roman" w:hAnsi="Times New Roman"/>
          <w:sz w:val="24"/>
          <w:szCs w:val="24"/>
        </w:rPr>
        <w:t xml:space="preserve"> Divide el alcance total en entregables, de lo general a lo particular. El estándar pide la regla del 100 %: la EDT debe incluir todo el alcance y solo el alcance. Hace visibles paquetes como 1.2.3, 1.3.1 y 1.3.2 y evita trabajo oculto. No dice el orden ni la duración; por sí sola no muestra qué retrasa a qué. Es lo que necesita el CPM: sin paquetes claros no hay red de actividades.</w:t>
      </w:r>
    </w:p>
    <w:p>
      <w:pPr>
        <w:spacing w:after="120" w:line="360"/>
        <w:jc w:val="both"/>
      </w:pPr>
      <w:r>
        <w:rPr>
          <w:rFonts w:ascii="Times New Roman" w:cs="Times New Roman" w:eastAsia="Times New Roman" w:hAnsi="Times New Roman"/>
          <w:b/>
          <w:bCs/>
          <w:sz w:val="24"/>
          <w:szCs w:val="24"/>
        </w:rPr>
        <w:t xml:space="preserve">Tema 6. MoSCoW: Agile Business Consortium frente a Achimugu et al. (2014).</w:t>
      </w:r>
      <w:r>
        <w:rPr>
          <w:rFonts w:ascii="Times New Roman" w:cs="Times New Roman" w:eastAsia="Times New Roman" w:hAnsi="Times New Roman"/>
          <w:sz w:val="24"/>
          <w:szCs w:val="24"/>
        </w:rPr>
        <w:t xml:space="preserve"> Es una técnica para priorizar en Must, Should, Could y Won't have. El Agile Business Consortium la presenta como una forma simple y acordada de limitar el alcance de un incremento con tiempo fijo. Achimugu et al. (2014), en su revisión sistemática, advierten que muchas técnicas de priorización, incluidas las de categorías, son subjetivas, escalan mal y casi no consideran las dependencias. Un «Must» puede depender de un «Should» técnico y la técnica no lo detecta. Uso MoSCoW para las funciones visibles, pero marco como Must toda tarea de la ruta crítica, aunque el usuario no la vea.</w:t>
      </w:r>
    </w:p>
    <w:p>
      <w:pPr>
        <w:pStyle w:val="Heading3"/>
        <w:keepNext/>
        <w:spacing w:after="120" w:before="240"/>
      </w:pPr>
      <w:r>
        <w:rPr>
          <w:rFonts w:ascii="Times New Roman" w:cs="Times New Roman" w:eastAsia="Times New Roman" w:hAnsi="Times New Roman"/>
          <w:b/>
          <w:bCs/>
          <w:i/>
          <w:iCs/>
          <w:sz w:val="26"/>
          <w:szCs w:val="26"/>
        </w:rPr>
        <w:t xml:space="preserve">Eje 3. Programación y estimación</w:t>
      </w:r>
    </w:p>
    <w:p>
      <w:pPr>
        <w:spacing w:after="120" w:line="360"/>
        <w:jc w:val="both"/>
      </w:pPr>
      <w:r>
        <w:rPr>
          <w:rFonts w:ascii="Times New Roman" w:cs="Times New Roman" w:eastAsia="Times New Roman" w:hAnsi="Times New Roman"/>
          <w:b/>
          <w:bCs/>
          <w:sz w:val="24"/>
          <w:szCs w:val="24"/>
        </w:rPr>
        <w:t xml:space="preserve">Tema 7. Gantt (Wilson, 2003) y CPM (Kelley, 1961).</w:t>
      </w:r>
      <w:r>
        <w:rPr>
          <w:rFonts w:ascii="Times New Roman" w:cs="Times New Roman" w:eastAsia="Times New Roman" w:hAnsi="Times New Roman"/>
          <w:sz w:val="24"/>
          <w:szCs w:val="24"/>
        </w:rPr>
        <w:t xml:space="preserve"> El Gantt muestra las actividades como barras en una línea de tiempo; el CPM calcula tiempos tempranos y tardíos para encontrar la secuencia más corta sin holgura. Wilson (2003) reconoce el valor del Gantt para comunicar, pero recuerda que por sí solo no modela dependencias complejas; Kelley (1961) formaliza la base matemática de la planificación por ruta crítica. Juntos permiten calcular y comunicar. Ambos suponen duraciones más o menos conocidas y se desactualizan si no se mantienen. El CPM me dice que el modelo de datos, el ORM y las listas forman una cadena, y el Gantt se lo muestra al equipo (Anexo B).</w:t>
      </w:r>
    </w:p>
    <w:p>
      <w:pPr>
        <w:spacing w:after="120" w:line="360"/>
        <w:jc w:val="both"/>
      </w:pPr>
      <w:r>
        <w:rPr>
          <w:rFonts w:ascii="Times New Roman" w:cs="Times New Roman" w:eastAsia="Times New Roman" w:hAnsi="Times New Roman"/>
          <w:b/>
          <w:bCs/>
          <w:sz w:val="24"/>
          <w:szCs w:val="24"/>
        </w:rPr>
        <w:t xml:space="preserve">Tema 8. PERT (Malcolm et al., 1959) frente a MacCrimmon y Ryavec (1964), y falacia de planificación (Buehler et al., 1994).</w:t>
      </w:r>
      <w:r>
        <w:rPr>
          <w:rFonts w:ascii="Times New Roman" w:cs="Times New Roman" w:eastAsia="Times New Roman" w:hAnsi="Times New Roman"/>
          <w:sz w:val="24"/>
          <w:szCs w:val="24"/>
        </w:rPr>
        <w:t xml:space="preserve"> PERT incluye la incertidumbre con tres estimaciones: optimista, probable y pesimista. Malcolm et al. (1959) lo propusieron para programas de investigación y desarrollo con duraciones inciertas; MacCrimmon y Ryavec (1964) cuestionaron sus supuestos, sobre todo la distribución que usa y que subestima la duración esperada cuando hay rutas casi críticas. Aun así, obliga a poner la incertidumbre por escrito. Buehler et al. (1994) muestran que la gente subestima cuánto tardará en sus propias tareas, aunque haya fallado antes. Para mí es una advertencia práctica: mis estimaciones de SQL transaccional y concurrencia seguramente son optimistas, así que uso rangos y dejo holgura de contingencia.</w:t>
      </w:r>
    </w:p>
    <w:p>
      <w:pPr>
        <w:pStyle w:val="Heading3"/>
        <w:keepNext/>
        <w:spacing w:after="120" w:before="240"/>
      </w:pPr>
      <w:r>
        <w:rPr>
          <w:rFonts w:ascii="Times New Roman" w:cs="Times New Roman" w:eastAsia="Times New Roman" w:hAnsi="Times New Roman"/>
          <w:b/>
          <w:bCs/>
          <w:i/>
          <w:iCs/>
          <w:sz w:val="26"/>
          <w:szCs w:val="26"/>
        </w:rPr>
        <w:t xml:space="preserve">Eje 4. Control, flujo y visión</w:t>
      </w:r>
    </w:p>
    <w:p>
      <w:pPr>
        <w:spacing w:after="120" w:line="360"/>
        <w:jc w:val="both"/>
      </w:pPr>
      <w:r>
        <w:rPr>
          <w:rFonts w:ascii="Times New Roman" w:cs="Times New Roman" w:eastAsia="Times New Roman" w:hAnsi="Times New Roman"/>
          <w:b/>
          <w:bCs/>
          <w:sz w:val="24"/>
          <w:szCs w:val="24"/>
        </w:rPr>
        <w:t xml:space="preserve">Tema 9. Control de cambios (ISO 21502, 2020).</w:t>
      </w:r>
      <w:r>
        <w:rPr>
          <w:rFonts w:ascii="Times New Roman" w:cs="Times New Roman" w:eastAsia="Times New Roman" w:hAnsi="Times New Roman"/>
          <w:sz w:val="24"/>
          <w:szCs w:val="24"/>
        </w:rPr>
        <w:t xml:space="preserve"> Es un proceso formal para evaluar, aprobar y registrar cambios a la línea base. La norma plantea que cada cambio se valore por su impacto en alcance, tiempo, costo y riesgo antes de aceptarlo. Protege la ruta crítica de cambios casuales. Si es muy pesado, castiga hasta los cambios pequeños. Lo aplico con un umbral: un cambio al esquema de PostgreSQL o a una restricción de integridad se evalúa; un ajuste visual no.</w:t>
      </w:r>
    </w:p>
    <w:p>
      <w:pPr>
        <w:spacing w:after="120" w:line="360"/>
        <w:jc w:val="both"/>
      </w:pPr>
      <w:r>
        <w:rPr>
          <w:rFonts w:ascii="Times New Roman" w:cs="Times New Roman" w:eastAsia="Times New Roman" w:hAnsi="Times New Roman"/>
          <w:b/>
          <w:bCs/>
          <w:sz w:val="24"/>
          <w:szCs w:val="24"/>
        </w:rPr>
        <w:t xml:space="preserve">Tema 10. Kanban (Ohno, 1988; Vacanti y Coleman, 2020).</w:t>
      </w:r>
      <w:r>
        <w:rPr>
          <w:rFonts w:ascii="Times New Roman" w:cs="Times New Roman" w:eastAsia="Times New Roman" w:hAnsi="Times New Roman"/>
          <w:sz w:val="24"/>
          <w:szCs w:val="24"/>
        </w:rPr>
        <w:t xml:space="preserve"> Es un sistema de flujo que limita el trabajo en curso y muestra los cuellos de botella. Ohno (1988) lo origina en la producción justo a tiempo; Vacanti y Coleman (2020) lo plantean como guía para manejar el flujo con límites de trabajo en proceso y métricas como el tiempo de ciclo. Va bien para tareas repetitivas y correcciones. No decide qué debe existir antes que qué; el flujo no reemplaza la lógica de precedencia. Lo dejo para la etapa posterior: errores, mejoras y soporte, cuando la infraestructura ya esté estable.</w:t>
      </w:r>
    </w:p>
    <w:p>
      <w:pPr>
        <w:spacing w:after="120" w:line="360"/>
        <w:jc w:val="both"/>
      </w:pPr>
      <w:r>
        <w:rPr>
          <w:rFonts w:ascii="Times New Roman" w:cs="Times New Roman" w:eastAsia="Times New Roman" w:hAnsi="Times New Roman"/>
          <w:b/>
          <w:bCs/>
          <w:sz w:val="24"/>
          <w:szCs w:val="24"/>
        </w:rPr>
        <w:t xml:space="preserve">Tema 11. Roadmap (Phaal et al., 2004).</w:t>
      </w:r>
      <w:r>
        <w:rPr>
          <w:rFonts w:ascii="Times New Roman" w:cs="Times New Roman" w:eastAsia="Times New Roman" w:hAnsi="Times New Roman"/>
          <w:sz w:val="24"/>
          <w:szCs w:val="24"/>
        </w:rPr>
        <w:t xml:space="preserve"> Es una representación por capas de objetivos, capacidades tecnológicas y tiempo. Phaal et al. (2004) lo plantean como marco para alinear la evolución tecnológica con las necesidades, y que se pueda explicar a perfiles técnicos y no técnicos. Muestra el panorama sin demasiado detalle. Sin duraciones de respaldo es solo una intención, no un plan. Mi roadmap tendrá tres etapas: modelo y esquema, transacciones y listas, y pruebas con aceptación.</w:t>
      </w:r>
    </w:p>
    <w:p>
      <w:pPr>
        <w:spacing w:after="120" w:line="360"/>
        <w:jc w:val="both"/>
      </w:pPr>
      <w:r>
        <w:rPr>
          <w:rFonts w:ascii="Times New Roman" w:cs="Times New Roman" w:eastAsia="Times New Roman" w:hAnsi="Times New Roman"/>
          <w:b/>
          <w:bCs/>
          <w:sz w:val="24"/>
          <w:szCs w:val="24"/>
        </w:rPr>
        <w:t xml:space="preserve">Diálogo entre autores.</w:t>
      </w:r>
      <w:r>
        <w:rPr>
          <w:rFonts w:ascii="Times New Roman" w:cs="Times New Roman" w:eastAsia="Times New Roman" w:hAnsi="Times New Roman"/>
          <w:sz w:val="24"/>
          <w:szCs w:val="24"/>
        </w:rPr>
        <w:t xml:space="preserve"> ISO 21502 (2020) y Ohno (1988) parten de ideas opuestas: la primera protege la línea base de los cambios y el segundo defiende un flujo que se adapta todo el tiempo. Vacanti y Coleman (2020) suavizan esa oposición: Kanban no prohíbe tener políticas, sino que las hace visibles, así que un control de cambios ligero cabe en una columna del tablero. Phaal et al. (2004) sirven de puente: el roadmap dice hacia dónde va el sistema, el control de cambios cuida la ruta y Kanban maneja el flujo diario. Concluyo que no compiten; están en capas distintas, y la capa de los cimientos le corresponde al CPM.</w:t>
      </w:r>
    </w:p>
    <w:p>
      <w:pPr>
        <w:pStyle w:val="Heading2"/>
        <w:keepNext/>
        <w:spacing w:after="160" w:before="360"/>
      </w:pPr>
      <w:r>
        <w:rPr>
          <w:rFonts w:ascii="Times New Roman" w:cs="Times New Roman" w:eastAsia="Times New Roman" w:hAnsi="Times New Roman"/>
          <w:b/>
          <w:bCs/>
          <w:sz w:val="28"/>
          <w:szCs w:val="28"/>
        </w:rPr>
        <w:t xml:space="preserve">3. Contraargumento y refutación</w:t>
      </w:r>
    </w:p>
    <w:p>
      <w:pPr>
        <w:spacing w:after="120" w:line="360"/>
        <w:jc w:val="both"/>
      </w:pPr>
      <w:r>
        <w:rPr>
          <w:rFonts w:ascii="Times New Roman" w:cs="Times New Roman" w:eastAsia="Times New Roman" w:hAnsi="Times New Roman"/>
          <w:b/>
          <w:bCs/>
          <w:sz w:val="24"/>
          <w:szCs w:val="24"/>
        </w:rPr>
        <w:t xml:space="preserve">Contraargumento.</w:t>
      </w:r>
      <w:r>
        <w:rPr>
          <w:rFonts w:ascii="Times New Roman" w:cs="Times New Roman" w:eastAsia="Times New Roman" w:hAnsi="Times New Roman"/>
          <w:sz w:val="24"/>
          <w:szCs w:val="24"/>
        </w:rPr>
        <w:t xml:space="preserve"> Alguien podría decir: «PostgreSQL es una base de datos madura y el ORM resuelve casi todo; el esquema se puede diseñar de forma ágil, poco a poco, y los bloqueos o la consistencia se corrigen cuando aparezcan». Es una posición razonable: la herramienta es robusta y migrar un esquema es posible.</w:t>
      </w:r>
    </w:p>
    <w:p>
      <w:pPr>
        <w:spacing w:after="120" w:line="360"/>
        <w:jc w:val="both"/>
      </w:pPr>
      <w:r>
        <w:rPr>
          <w:rFonts w:ascii="Times New Roman" w:cs="Times New Roman" w:eastAsia="Times New Roman" w:hAnsi="Times New Roman"/>
          <w:b/>
          <w:bCs/>
          <w:sz w:val="24"/>
          <w:szCs w:val="24"/>
        </w:rPr>
        <w:t xml:space="preserve">Refutación.</w:t>
      </w:r>
      <w:r>
        <w:rPr>
          <w:rFonts w:ascii="Times New Roman" w:cs="Times New Roman" w:eastAsia="Times New Roman" w:hAnsi="Times New Roman"/>
          <w:sz w:val="24"/>
          <w:szCs w:val="24"/>
        </w:rPr>
        <w:t xml:space="preserve"> Falla por tres razones. Primera, las migraciones tardías sobre datos reales cuestan: cambiar llaves, tipos o restricciones cuando ya hay registros obliga a mover datos y a reescribir el ORM, las consultas y las pruebas. Eso no se resuelve con una iteración más; conviene decidir antes el modelo y las restricciones de integridad. Segunda, las transacciones se diseñan: con el aislamiento por defecto de PostgreSQL (READ COMMITTED), dos operadores pueden leer el mismo cajón como libre y asignarlo los dos. Evitarlo exige elegir antes entre bloqueo de fila, restricciones únicas o control optimista con una columna de versión. Tercera, los interbloqueos aparecen con concurrencia real: PostgreSQL detecta el ciclo y cancela una de las transacciones, pero evitarlo exige un orden fijo para adquirir los bloqueos. Una demo de sprint con un solo usuario no lo muestra; solo lo hacen pruebas de concurrencia diseñadas para eso. Esto coincide con la lógica de Boehm (1988): se ataca el riesgo antes de construir encima.</w:t>
      </w:r>
    </w:p>
    <w:p>
      <w:pPr>
        <w:spacing w:after="120" w:line="360"/>
        <w:jc w:val="both"/>
      </w:pPr>
      <w:r>
        <w:rPr>
          <w:rFonts w:ascii="Times New Roman" w:cs="Times New Roman" w:eastAsia="Times New Roman" w:hAnsi="Times New Roman"/>
          <w:sz w:val="24"/>
          <w:szCs w:val="24"/>
        </w:rPr>
        <w:t xml:space="preserve">Además, corregir tarde cuesta más. Si las listas se registran sin un modelo transaccional, cambiarlo después obliga a reescribir el ORM, las consultas y las pruebas. Eso es un cambio sobre la ruta crítica, y Buehler et al. (1994) sugieren que lo vamos a subestimar. Le doy un punto al crítico: la agilidad sí sirve dentro de la capa, por ejemplo para ajustar índices o consultas. Pero lo que debe estar firme antes de iterar es la base en orden: modelo de datos, restricciones y transacciones.</w:t>
      </w:r>
    </w:p>
    <w:p>
      <w:pPr>
        <w:pStyle w:val="Heading2"/>
        <w:keepNext/>
        <w:spacing w:after="160" w:before="360"/>
      </w:pPr>
      <w:r>
        <w:rPr>
          <w:rFonts w:ascii="Times New Roman" w:cs="Times New Roman" w:eastAsia="Times New Roman" w:hAnsi="Times New Roman"/>
          <w:b/>
          <w:bCs/>
          <w:sz w:val="28"/>
          <w:szCs w:val="28"/>
        </w:rPr>
        <w:t xml:space="preserve">4. Aplicación a mi Proyecto Integrador</w:t>
      </w:r>
    </w:p>
    <w:p>
      <w:pPr>
        <w:spacing w:after="120" w:line="360"/>
        <w:jc w:val="both"/>
      </w:pPr>
      <w:r>
        <w:rPr>
          <w:rFonts w:ascii="Times New Roman" w:cs="Times New Roman" w:eastAsia="Times New Roman" w:hAnsi="Times New Roman"/>
          <w:sz w:val="24"/>
          <w:szCs w:val="24"/>
        </w:rPr>
        <w:t xml:space="preserve">Mi parte en el Equipo 06 se trabaja exclusivamente en PostgreSQL: la instancia y el esquema base (1.2.3), el ORM y SQL transaccional (1.3.1) y el registro simple de las cuatro listas (1.3.2). Trabajando 4 horas por día, el CPM (Anexo B) da una ruta crítica de 24 días hábiles, que termina antes de la entrega del 15 de diciembre.</w:t>
      </w:r>
    </w:p>
    <w:p>
      <w:pPr>
        <w:spacing w:after="120" w:line="360"/>
        <w:jc w:val="both"/>
      </w:pPr>
      <w:r>
        <w:rPr>
          <w:rFonts w:ascii="Times New Roman" w:cs="Times New Roman" w:eastAsia="Times New Roman" w:hAnsi="Times New Roman"/>
          <w:b/>
          <w:bCs/>
          <w:sz w:val="24"/>
          <w:szCs w:val="24"/>
        </w:rPr>
        <w:t xml:space="preserve">EDT 1.2.3. Instancia y esquema base de PostgreSQL.</w:t>
      </w:r>
      <w:r>
        <w:rPr>
          <w:rFonts w:ascii="Times New Roman" w:cs="Times New Roman" w:eastAsia="Times New Roman" w:hAnsi="Times New Roman"/>
          <w:sz w:val="24"/>
          <w:szCs w:val="24"/>
        </w:rPr>
        <w:t xml:space="preserve"> Es la tarea que va primero: sin una base configurada y con el esquema inicial, nadie prueba nada. Según el CPM no tiene holgura y bloquea a las demás. Su criterio de verificación, siguiendo ISO 29148, es que la base se pueda crear desde cero con scripts de migración, con roles, llaves y restricciones definidas. También aplico el Espiral desde aquí: incluyo una prueba temprana de asignación simultánea.</w:t>
      </w:r>
    </w:p>
    <w:p>
      <w:pPr>
        <w:spacing w:after="120" w:line="360"/>
        <w:jc w:val="both"/>
      </w:pPr>
      <w:r>
        <w:rPr>
          <w:rFonts w:ascii="Times New Roman" w:cs="Times New Roman" w:eastAsia="Times New Roman" w:hAnsi="Times New Roman"/>
          <w:b/>
          <w:bCs/>
          <w:sz w:val="24"/>
          <w:szCs w:val="24"/>
        </w:rPr>
        <w:t xml:space="preserve">EDT 1.3.1. ORM y SQL transaccional.</w:t>
      </w:r>
      <w:r>
        <w:rPr>
          <w:rFonts w:ascii="Times New Roman" w:cs="Times New Roman" w:eastAsia="Times New Roman" w:hAnsi="Times New Roman"/>
          <w:sz w:val="24"/>
          <w:szCs w:val="24"/>
        </w:rPr>
        <w:t xml:space="preserve"> Aquí se decide la consistencia. Planeo usar transacciones con un aislamiento adecuado, bloqueo de fila para asignar cajones y una columna de versión para control optimista. Documento los casos de conflicto (doble asignación y cambio simultáneo de un andén) y los trato como requisitos Must en MoSCoW, aunque el usuario final no los vea. Si después cambia el esquema, pasa por control de cambios (ISO 21502).</w:t>
      </w:r>
    </w:p>
    <w:p>
      <w:pPr>
        <w:spacing w:after="120" w:line="360"/>
        <w:jc w:val="both"/>
      </w:pPr>
      <w:r>
        <w:rPr>
          <w:rFonts w:ascii="Times New Roman" w:cs="Times New Roman" w:eastAsia="Times New Roman" w:hAnsi="Times New Roman"/>
          <w:b/>
          <w:bCs/>
          <w:sz w:val="24"/>
          <w:szCs w:val="24"/>
        </w:rPr>
        <w:t xml:space="preserve">EDT 1.3.2. Registro simple de las cuatro listas.</w:t>
      </w:r>
      <w:r>
        <w:rPr>
          <w:rFonts w:ascii="Times New Roman" w:cs="Times New Roman" w:eastAsia="Times New Roman" w:hAnsi="Times New Roman"/>
          <w:sz w:val="24"/>
          <w:szCs w:val="24"/>
        </w:rPr>
        <w:t xml:space="preserve"> Depende de las dos tareas anteriores. Cada lista lleva alta, consulta, edición y baja, con llaves foráneas y restricciones que impidan datos inválidos, y se escribe con las transacciones de 1.3.1. Su criterio de aceptación se puede medir: cada operación pasa sus pruebas y una prueba de concurrencia no produce doble asignación de un cajón. Por la falacia de planificación, estimo con rango PERT y dejo un colchón al final de la cadena.</w:t>
      </w:r>
    </w:p>
    <w:p>
      <w:pPr>
        <w:spacing w:after="120" w:line="360"/>
        <w:jc w:val="both"/>
      </w:pPr>
      <w:r>
        <w:rPr>
          <w:rFonts w:ascii="Times New Roman" w:cs="Times New Roman" w:eastAsia="Times New Roman" w:hAnsi="Times New Roman"/>
          <w:sz w:val="24"/>
          <w:szCs w:val="24"/>
        </w:rPr>
        <w:t xml:space="preserve">Con esa base en orden, el equipo ya puede trabajar de forma ágil: sprints para la consola, Kanban para defectos y un roadmap de tres etapas. La planificación híbrida no es un punto medio tibio; es darle a cada capa la técnica que su naturaleza pide.</w:t>
      </w:r>
    </w:p>
    <w:p>
      <w:pPr>
        <w:pStyle w:val="Heading2"/>
        <w:keepNext/>
        <w:spacing w:after="160" w:before="360"/>
      </w:pPr>
      <w:r>
        <w:rPr>
          <w:rFonts w:ascii="Times New Roman" w:cs="Times New Roman" w:eastAsia="Times New Roman" w:hAnsi="Times New Roman"/>
          <w:b/>
          <w:bCs/>
          <w:sz w:val="28"/>
          <w:szCs w:val="28"/>
        </w:rPr>
        <w:t xml:space="preserve">5. Conclusión</w:t>
      </w:r>
    </w:p>
    <w:p>
      <w:pPr>
        <w:spacing w:after="120" w:line="360"/>
        <w:jc w:val="both"/>
      </w:pPr>
      <w:r>
        <w:rPr>
          <w:rFonts w:ascii="Times New Roman" w:cs="Times New Roman" w:eastAsia="Times New Roman" w:hAnsi="Times New Roman"/>
          <w:sz w:val="24"/>
          <w:szCs w:val="24"/>
        </w:rPr>
        <w:t xml:space="preserve">Después de revisar los once temas, veo que ninguna técnica alcanza por sí sola. El Manifiesto Ágil aporta adaptación; el Espiral, enfoque en el riesgo; PMBOK 7, permiso para combinar; ISO 29148 y la EDT, precisión en el alcance; MoSCoW, priorización, con la advertencia de Achimugu et al. (2014); CPM y PERT, orden e incertidumbre; Buehler et al. (1994), humildad ante nuestro optimismo; y el control de cambios, Kanban y el roadmap, control del flujo y de la visión. La tesis se sostiene: en una capa de datos donde el modelo, las transacciones y las listas dependen unas de otras y fallan con concurrencia, el CPM debe ir antes que la agilidad en el backend. Mi límite es que las duraciones son estimaciones mías y no mediciones, así que hay que recalcularlas conforme avance el proyecto.</w:t>
      </w:r>
    </w:p>
    <w:p>
      <w:pPr>
        <w:spacing w:after="120" w:line="360"/>
        <w:jc w:val="both"/>
      </w:pPr>
      <w:r>
        <w:rPr>
          <w:rFonts w:ascii="Times New Roman" w:cs="Times New Roman" w:eastAsia="Times New Roman" w:hAnsi="Times New Roman"/>
          <w:b/>
          <w:bCs/>
          <w:sz w:val="24"/>
          <w:szCs w:val="24"/>
        </w:rPr>
        <w:t xml:space="preserve">Conteo de palabras:</w:t>
      </w:r>
      <w:r>
        <w:rPr>
          <w:rFonts w:ascii="Times New Roman" w:cs="Times New Roman" w:eastAsia="Times New Roman" w:hAnsi="Times New Roman"/>
          <w:sz w:val="24"/>
          <w:szCs w:val="24"/>
        </w:rPr>
        <w:t xml:space="preserve"> aproximadamente 3,100 (cuerpo del ensayo, sin referencias ni anexos). Conviene verificarlo con el contador de tu procesador de texto antes de entregar.</w:t>
      </w:r>
    </w:p>
    <w:p>
      <w:pPr>
        <w:pStyle w:val="Heading2"/>
        <w:keepNext/>
        <w:spacing w:after="160" w:before="360"/>
      </w:pPr>
      <w:r>
        <w:rPr>
          <w:rFonts w:ascii="Times New Roman" w:cs="Times New Roman" w:eastAsia="Times New Roman" w:hAnsi="Times New Roman"/>
          <w:b/>
          <w:bCs/>
          <w:sz w:val="28"/>
          <w:szCs w:val="28"/>
        </w:rPr>
        <w:t xml:space="preserve">Referencias (APA 7)</w:t>
      </w:r>
    </w:p>
    <w:p>
      <w:pPr>
        <w:spacing w:after="120" w:line="276"/>
        <w:ind w:left="720" w:hanging="720"/>
      </w:pPr>
      <w:r>
        <w:rPr>
          <w:rFonts w:ascii="Times New Roman" w:cs="Times New Roman" w:eastAsia="Times New Roman" w:hAnsi="Times New Roman"/>
          <w:sz w:val="24"/>
          <w:szCs w:val="24"/>
        </w:rPr>
        <w:t xml:space="preserve">Achimugu, P., Selamat, A., Ibrahim, R., &amp; Mahrin, M. N. (2014). A systematic literature review of software requirements prioritization research. </w:t>
      </w:r>
      <w:r>
        <w:rPr>
          <w:rFonts w:ascii="Times New Roman" w:cs="Times New Roman" w:eastAsia="Times New Roman" w:hAnsi="Times New Roman"/>
          <w:i/>
          <w:iCs/>
          <w:sz w:val="24"/>
          <w:szCs w:val="24"/>
        </w:rPr>
        <w:t xml:space="preserve">Information and Software Technology, 56</w:t>
      </w:r>
      <w:r>
        <w:rPr>
          <w:rFonts w:ascii="Times New Roman" w:cs="Times New Roman" w:eastAsia="Times New Roman" w:hAnsi="Times New Roman"/>
          <w:sz w:val="24"/>
          <w:szCs w:val="24"/>
        </w:rPr>
        <w:t xml:space="preserve">(6), 568–585.</w:t>
      </w:r>
    </w:p>
    <w:p>
      <w:pPr>
        <w:spacing w:after="120" w:line="276"/>
        <w:ind w:left="720" w:hanging="720"/>
      </w:pPr>
      <w:r>
        <w:rPr>
          <w:rFonts w:ascii="Times New Roman" w:cs="Times New Roman" w:eastAsia="Times New Roman" w:hAnsi="Times New Roman"/>
          <w:sz w:val="24"/>
          <w:szCs w:val="24"/>
        </w:rPr>
        <w:t xml:space="preserve">Agile Business Consortium. (s. f.). </w:t>
      </w:r>
      <w:r>
        <w:rPr>
          <w:rFonts w:ascii="Times New Roman" w:cs="Times New Roman" w:eastAsia="Times New Roman" w:hAnsi="Times New Roman"/>
          <w:i/>
          <w:iCs/>
          <w:sz w:val="24"/>
          <w:szCs w:val="24"/>
        </w:rPr>
        <w:t xml:space="preserve">MoSCoW prioritisation</w:t>
      </w:r>
      <w:r>
        <w:rPr>
          <w:rFonts w:ascii="Times New Roman" w:cs="Times New Roman" w:eastAsia="Times New Roman" w:hAnsi="Times New Roman"/>
          <w:sz w:val="24"/>
          <w:szCs w:val="24"/>
        </w:rPr>
        <w:t xml:space="preserve"> [DSDM Agile Project Framework].</w:t>
      </w:r>
    </w:p>
    <w:p>
      <w:pPr>
        <w:spacing w:after="120" w:line="276"/>
        <w:ind w:left="720" w:hanging="720"/>
      </w:pPr>
      <w:r>
        <w:rPr>
          <w:rFonts w:ascii="Times New Roman" w:cs="Times New Roman" w:eastAsia="Times New Roman" w:hAnsi="Times New Roman"/>
          <w:sz w:val="24"/>
          <w:szCs w:val="24"/>
        </w:rPr>
        <w:t xml:space="preserve">Beck, K., Beedle, M., van Bennekum, A., Cockburn, A., Cunningham, W., Fowler, M., et al. (2001). </w:t>
      </w:r>
      <w:r>
        <w:rPr>
          <w:rFonts w:ascii="Times New Roman" w:cs="Times New Roman" w:eastAsia="Times New Roman" w:hAnsi="Times New Roman"/>
          <w:i/>
          <w:iCs/>
          <w:sz w:val="24"/>
          <w:szCs w:val="24"/>
        </w:rPr>
        <w:t xml:space="preserve">Manifesto for agile software development</w:t>
      </w:r>
      <w:r>
        <w:rPr>
          <w:rFonts w:ascii="Times New Roman" w:cs="Times New Roman" w:eastAsia="Times New Roman" w:hAnsi="Times New Roman"/>
          <w:sz w:val="24"/>
          <w:szCs w:val="24"/>
        </w:rPr>
        <w:t xml:space="preserve">. https://agilemanifesto.org</w:t>
      </w:r>
    </w:p>
    <w:p>
      <w:pPr>
        <w:spacing w:after="120" w:line="276"/>
        <w:ind w:left="720" w:hanging="720"/>
      </w:pPr>
      <w:r>
        <w:rPr>
          <w:rFonts w:ascii="Times New Roman" w:cs="Times New Roman" w:eastAsia="Times New Roman" w:hAnsi="Times New Roman"/>
          <w:sz w:val="24"/>
          <w:szCs w:val="24"/>
        </w:rPr>
        <w:t xml:space="preserve">Boehm, B. W. (1988). A spiral model of software development and enhancement. </w:t>
      </w:r>
      <w:r>
        <w:rPr>
          <w:rFonts w:ascii="Times New Roman" w:cs="Times New Roman" w:eastAsia="Times New Roman" w:hAnsi="Times New Roman"/>
          <w:i/>
          <w:iCs/>
          <w:sz w:val="24"/>
          <w:szCs w:val="24"/>
        </w:rPr>
        <w:t xml:space="preserve">Computer, 21</w:t>
      </w:r>
      <w:r>
        <w:rPr>
          <w:rFonts w:ascii="Times New Roman" w:cs="Times New Roman" w:eastAsia="Times New Roman" w:hAnsi="Times New Roman"/>
          <w:sz w:val="24"/>
          <w:szCs w:val="24"/>
        </w:rPr>
        <w:t xml:space="preserve">(5), 61–72.</w:t>
      </w:r>
    </w:p>
    <w:p>
      <w:pPr>
        <w:spacing w:after="120" w:line="276"/>
        <w:ind w:left="720" w:hanging="720"/>
      </w:pPr>
      <w:r>
        <w:rPr>
          <w:rFonts w:ascii="Times New Roman" w:cs="Times New Roman" w:eastAsia="Times New Roman" w:hAnsi="Times New Roman"/>
          <w:sz w:val="24"/>
          <w:szCs w:val="24"/>
        </w:rPr>
        <w:t xml:space="preserve">Buehler, R., Griffin, D., &amp; Ross, M. (1994). Exploring the «planning fallacy»: Why people underestimate their task completion times. </w:t>
      </w:r>
      <w:r>
        <w:rPr>
          <w:rFonts w:ascii="Times New Roman" w:cs="Times New Roman" w:eastAsia="Times New Roman" w:hAnsi="Times New Roman"/>
          <w:i/>
          <w:iCs/>
          <w:sz w:val="24"/>
          <w:szCs w:val="24"/>
        </w:rPr>
        <w:t xml:space="preserve">Journal of Personality and Social Psychology, 67</w:t>
      </w:r>
      <w:r>
        <w:rPr>
          <w:rFonts w:ascii="Times New Roman" w:cs="Times New Roman" w:eastAsia="Times New Roman" w:hAnsi="Times New Roman"/>
          <w:sz w:val="24"/>
          <w:szCs w:val="24"/>
        </w:rPr>
        <w:t xml:space="preserve">(3), 366–381.</w:t>
      </w:r>
    </w:p>
    <w:p>
      <w:pPr>
        <w:spacing w:after="120" w:line="276"/>
        <w:ind w:left="720" w:hanging="720"/>
      </w:pPr>
      <w:r>
        <w:rPr>
          <w:rFonts w:ascii="Times New Roman" w:cs="Times New Roman" w:eastAsia="Times New Roman" w:hAnsi="Times New Roman"/>
          <w:sz w:val="24"/>
          <w:szCs w:val="24"/>
        </w:rPr>
        <w:t xml:space="preserve">International Organization for Standardization. (2020). </w:t>
      </w:r>
      <w:r>
        <w:rPr>
          <w:rFonts w:ascii="Times New Roman" w:cs="Times New Roman" w:eastAsia="Times New Roman" w:hAnsi="Times New Roman"/>
          <w:i/>
          <w:iCs/>
          <w:sz w:val="24"/>
          <w:szCs w:val="24"/>
        </w:rPr>
        <w:t xml:space="preserve">ISO 21502: Project, programme and portfolio management — Guidance on project management</w:t>
      </w:r>
      <w:r>
        <w:rPr>
          <w:rFonts w:ascii="Times New Roman" w:cs="Times New Roman" w:eastAsia="Times New Roman" w:hAnsi="Times New Roman"/>
          <w:sz w:val="24"/>
          <w:szCs w:val="24"/>
        </w:rPr>
        <w:t xml:space="preserve">.</w:t>
      </w:r>
    </w:p>
    <w:p>
      <w:pPr>
        <w:spacing w:after="120" w:line="276"/>
        <w:ind w:left="720" w:hanging="720"/>
      </w:pPr>
      <w:r>
        <w:rPr>
          <w:rFonts w:ascii="Times New Roman" w:cs="Times New Roman" w:eastAsia="Times New Roman" w:hAnsi="Times New Roman"/>
          <w:sz w:val="24"/>
          <w:szCs w:val="24"/>
        </w:rPr>
        <w:t xml:space="preserve">ISO/IEC/IEEE. (2018). </w:t>
      </w:r>
      <w:r>
        <w:rPr>
          <w:rFonts w:ascii="Times New Roman" w:cs="Times New Roman" w:eastAsia="Times New Roman" w:hAnsi="Times New Roman"/>
          <w:i/>
          <w:iCs/>
          <w:sz w:val="24"/>
          <w:szCs w:val="24"/>
        </w:rPr>
        <w:t xml:space="preserve">ISO/IEC/IEEE 29148: Systems and software engineering — Life cycle processes — Requirements engineering</w:t>
      </w:r>
      <w:r>
        <w:rPr>
          <w:rFonts w:ascii="Times New Roman" w:cs="Times New Roman" w:eastAsia="Times New Roman" w:hAnsi="Times New Roman"/>
          <w:sz w:val="24"/>
          <w:szCs w:val="24"/>
        </w:rPr>
        <w:t xml:space="preserve">.</w:t>
      </w:r>
    </w:p>
    <w:p>
      <w:pPr>
        <w:spacing w:after="120" w:line="276"/>
        <w:ind w:left="720" w:hanging="720"/>
      </w:pPr>
      <w:r>
        <w:rPr>
          <w:rFonts w:ascii="Times New Roman" w:cs="Times New Roman" w:eastAsia="Times New Roman" w:hAnsi="Times New Roman"/>
          <w:sz w:val="24"/>
          <w:szCs w:val="24"/>
        </w:rPr>
        <w:t xml:space="preserve">Kelley, J. E., Jr. (1961). Critical-path planning and scheduling: Mathematical basis. </w:t>
      </w:r>
      <w:r>
        <w:rPr>
          <w:rFonts w:ascii="Times New Roman" w:cs="Times New Roman" w:eastAsia="Times New Roman" w:hAnsi="Times New Roman"/>
          <w:i/>
          <w:iCs/>
          <w:sz w:val="24"/>
          <w:szCs w:val="24"/>
        </w:rPr>
        <w:t xml:space="preserve">Operations Research, 9</w:t>
      </w:r>
      <w:r>
        <w:rPr>
          <w:rFonts w:ascii="Times New Roman" w:cs="Times New Roman" w:eastAsia="Times New Roman" w:hAnsi="Times New Roman"/>
          <w:sz w:val="24"/>
          <w:szCs w:val="24"/>
        </w:rPr>
        <w:t xml:space="preserve">(3), 296–320.</w:t>
      </w:r>
    </w:p>
    <w:p>
      <w:pPr>
        <w:spacing w:after="120" w:line="276"/>
        <w:ind w:left="720" w:hanging="720"/>
      </w:pPr>
      <w:r>
        <w:rPr>
          <w:rFonts w:ascii="Times New Roman" w:cs="Times New Roman" w:eastAsia="Times New Roman" w:hAnsi="Times New Roman"/>
          <w:sz w:val="24"/>
          <w:szCs w:val="24"/>
        </w:rPr>
        <w:t xml:space="preserve">MacCrimmon, K. R., &amp; Ryavec, C. A. (1964). An analytical study of the PERT assumptions. </w:t>
      </w:r>
      <w:r>
        <w:rPr>
          <w:rFonts w:ascii="Times New Roman" w:cs="Times New Roman" w:eastAsia="Times New Roman" w:hAnsi="Times New Roman"/>
          <w:i/>
          <w:iCs/>
          <w:sz w:val="24"/>
          <w:szCs w:val="24"/>
        </w:rPr>
        <w:t xml:space="preserve">Operations Research, 12</w:t>
      </w:r>
      <w:r>
        <w:rPr>
          <w:rFonts w:ascii="Times New Roman" w:cs="Times New Roman" w:eastAsia="Times New Roman" w:hAnsi="Times New Roman"/>
          <w:sz w:val="24"/>
          <w:szCs w:val="24"/>
        </w:rPr>
        <w:t xml:space="preserve">(1), 16–37.</w:t>
      </w:r>
    </w:p>
    <w:p>
      <w:pPr>
        <w:spacing w:after="120" w:line="276"/>
        <w:ind w:left="720" w:hanging="720"/>
      </w:pPr>
      <w:r>
        <w:rPr>
          <w:rFonts w:ascii="Times New Roman" w:cs="Times New Roman" w:eastAsia="Times New Roman" w:hAnsi="Times New Roman"/>
          <w:sz w:val="24"/>
          <w:szCs w:val="24"/>
        </w:rPr>
        <w:t xml:space="preserve">Malcolm, D. G., Roseboom, J. H., Clark, C. E., &amp; Fazar, W. (1959). Application of a technique for research and development program evaluation. </w:t>
      </w:r>
      <w:r>
        <w:rPr>
          <w:rFonts w:ascii="Times New Roman" w:cs="Times New Roman" w:eastAsia="Times New Roman" w:hAnsi="Times New Roman"/>
          <w:i/>
          <w:iCs/>
          <w:sz w:val="24"/>
          <w:szCs w:val="24"/>
        </w:rPr>
        <w:t xml:space="preserve">Operations Research, 7</w:t>
      </w:r>
      <w:r>
        <w:rPr>
          <w:rFonts w:ascii="Times New Roman" w:cs="Times New Roman" w:eastAsia="Times New Roman" w:hAnsi="Times New Roman"/>
          <w:sz w:val="24"/>
          <w:szCs w:val="24"/>
        </w:rPr>
        <w:t xml:space="preserve">(5), 646–669.</w:t>
      </w:r>
    </w:p>
    <w:p>
      <w:pPr>
        <w:spacing w:after="120" w:line="276"/>
        <w:ind w:left="720" w:hanging="720"/>
      </w:pPr>
      <w:r>
        <w:rPr>
          <w:rFonts w:ascii="Times New Roman" w:cs="Times New Roman" w:eastAsia="Times New Roman" w:hAnsi="Times New Roman"/>
          <w:sz w:val="24"/>
          <w:szCs w:val="24"/>
        </w:rPr>
        <w:t xml:space="preserve">Ohno, T. (1988). </w:t>
      </w:r>
      <w:r>
        <w:rPr>
          <w:rFonts w:ascii="Times New Roman" w:cs="Times New Roman" w:eastAsia="Times New Roman" w:hAnsi="Times New Roman"/>
          <w:i/>
          <w:iCs/>
          <w:sz w:val="24"/>
          <w:szCs w:val="24"/>
        </w:rPr>
        <w:t xml:space="preserve">Toyota production system: Beyond large-scale production</w:t>
      </w:r>
      <w:r>
        <w:rPr>
          <w:rFonts w:ascii="Times New Roman" w:cs="Times New Roman" w:eastAsia="Times New Roman" w:hAnsi="Times New Roman"/>
          <w:sz w:val="24"/>
          <w:szCs w:val="24"/>
        </w:rPr>
        <w:t xml:space="preserve">. Productivity Press.</w:t>
      </w:r>
    </w:p>
    <w:p>
      <w:pPr>
        <w:spacing w:after="120" w:line="276"/>
        <w:ind w:left="720" w:hanging="720"/>
      </w:pPr>
      <w:r>
        <w:rPr>
          <w:rFonts w:ascii="Times New Roman" w:cs="Times New Roman" w:eastAsia="Times New Roman" w:hAnsi="Times New Roman"/>
          <w:sz w:val="24"/>
          <w:szCs w:val="24"/>
        </w:rPr>
        <w:t xml:space="preserve">Phaal, R., Farrukh, C. J. P., &amp; Probert, D. R. (2004). Technology roadmapping: A planning framework for evolution and revolution. </w:t>
      </w:r>
      <w:r>
        <w:rPr>
          <w:rFonts w:ascii="Times New Roman" w:cs="Times New Roman" w:eastAsia="Times New Roman" w:hAnsi="Times New Roman"/>
          <w:i/>
          <w:iCs/>
          <w:sz w:val="24"/>
          <w:szCs w:val="24"/>
        </w:rPr>
        <w:t xml:space="preserve">Technological Forecasting and Social Change, 71</w:t>
      </w:r>
      <w:r>
        <w:rPr>
          <w:rFonts w:ascii="Times New Roman" w:cs="Times New Roman" w:eastAsia="Times New Roman" w:hAnsi="Times New Roman"/>
          <w:sz w:val="24"/>
          <w:szCs w:val="24"/>
        </w:rPr>
        <w:t xml:space="preserve">(1–2), 5–26.</w:t>
      </w:r>
    </w:p>
    <w:p>
      <w:pPr>
        <w:spacing w:after="120" w:line="276"/>
        <w:ind w:left="720" w:hanging="720"/>
      </w:pPr>
      <w:r>
        <w:rPr>
          <w:rFonts w:ascii="Times New Roman" w:cs="Times New Roman" w:eastAsia="Times New Roman" w:hAnsi="Times New Roman"/>
          <w:sz w:val="24"/>
          <w:szCs w:val="24"/>
        </w:rPr>
        <w:t xml:space="preserve">Project Management Institute. (2019). </w:t>
      </w:r>
      <w:r>
        <w:rPr>
          <w:rFonts w:ascii="Times New Roman" w:cs="Times New Roman" w:eastAsia="Times New Roman" w:hAnsi="Times New Roman"/>
          <w:i/>
          <w:iCs/>
          <w:sz w:val="24"/>
          <w:szCs w:val="24"/>
        </w:rPr>
        <w:t xml:space="preserve">Practice standard for work breakdown structures</w:t>
      </w:r>
      <w:r>
        <w:rPr>
          <w:rFonts w:ascii="Times New Roman" w:cs="Times New Roman" w:eastAsia="Times New Roman" w:hAnsi="Times New Roman"/>
          <w:sz w:val="24"/>
          <w:szCs w:val="24"/>
        </w:rPr>
        <w:t xml:space="preserve"> (3.ª ed.).</w:t>
      </w:r>
    </w:p>
    <w:p>
      <w:pPr>
        <w:spacing w:after="120" w:line="276"/>
        <w:ind w:left="720" w:hanging="720"/>
      </w:pPr>
      <w:r>
        <w:rPr>
          <w:rFonts w:ascii="Times New Roman" w:cs="Times New Roman" w:eastAsia="Times New Roman" w:hAnsi="Times New Roman"/>
          <w:sz w:val="24"/>
          <w:szCs w:val="24"/>
        </w:rPr>
        <w:t xml:space="preserve">Project Management Institute. (2021). </w:t>
      </w:r>
      <w:r>
        <w:rPr>
          <w:rFonts w:ascii="Times New Roman" w:cs="Times New Roman" w:eastAsia="Times New Roman" w:hAnsi="Times New Roman"/>
          <w:i/>
          <w:iCs/>
          <w:sz w:val="24"/>
          <w:szCs w:val="24"/>
        </w:rPr>
        <w:t xml:space="preserve">A guide to the project management body of knowledge (PMBOK® guide)</w:t>
      </w:r>
      <w:r>
        <w:rPr>
          <w:rFonts w:ascii="Times New Roman" w:cs="Times New Roman" w:eastAsia="Times New Roman" w:hAnsi="Times New Roman"/>
          <w:sz w:val="24"/>
          <w:szCs w:val="24"/>
        </w:rPr>
        <w:t xml:space="preserve"> (7.ª ed.).</w:t>
      </w:r>
    </w:p>
    <w:p>
      <w:pPr>
        <w:spacing w:after="120" w:line="276"/>
        <w:ind w:left="720" w:hanging="720"/>
      </w:pPr>
      <w:r>
        <w:rPr>
          <w:rFonts w:ascii="Times New Roman" w:cs="Times New Roman" w:eastAsia="Times New Roman" w:hAnsi="Times New Roman"/>
          <w:sz w:val="24"/>
          <w:szCs w:val="24"/>
        </w:rPr>
        <w:t xml:space="preserve">Vacanti, D., &amp; Coleman, J. (2020). </w:t>
      </w:r>
      <w:r>
        <w:rPr>
          <w:rFonts w:ascii="Times New Roman" w:cs="Times New Roman" w:eastAsia="Times New Roman" w:hAnsi="Times New Roman"/>
          <w:i/>
          <w:iCs/>
          <w:sz w:val="24"/>
          <w:szCs w:val="24"/>
        </w:rPr>
        <w:t xml:space="preserve">The Kanban guide</w:t>
      </w:r>
      <w:r>
        <w:rPr>
          <w:rFonts w:ascii="Times New Roman" w:cs="Times New Roman" w:eastAsia="Times New Roman" w:hAnsi="Times New Roman"/>
          <w:sz w:val="24"/>
          <w:szCs w:val="24"/>
        </w:rPr>
        <w:t xml:space="preserve">. Scrum.org y Kanban University.</w:t>
      </w:r>
    </w:p>
    <w:p>
      <w:pPr>
        <w:spacing w:after="120" w:line="276"/>
        <w:ind w:left="720" w:hanging="720"/>
      </w:pPr>
      <w:r>
        <w:rPr>
          <w:rFonts w:ascii="Times New Roman" w:cs="Times New Roman" w:eastAsia="Times New Roman" w:hAnsi="Times New Roman"/>
          <w:sz w:val="24"/>
          <w:szCs w:val="24"/>
        </w:rPr>
        <w:t xml:space="preserve">Wilson, J. M. (2003). Gantt charts: A centenary appreciation. </w:t>
      </w:r>
      <w:r>
        <w:rPr>
          <w:rFonts w:ascii="Times New Roman" w:cs="Times New Roman" w:eastAsia="Times New Roman" w:hAnsi="Times New Roman"/>
          <w:i/>
          <w:iCs/>
          <w:sz w:val="24"/>
          <w:szCs w:val="24"/>
        </w:rPr>
        <w:t xml:space="preserve">European Journal of Operational Research, 149</w:t>
      </w:r>
      <w:r>
        <w:rPr>
          <w:rFonts w:ascii="Times New Roman" w:cs="Times New Roman" w:eastAsia="Times New Roman" w:hAnsi="Times New Roman"/>
          <w:sz w:val="24"/>
          <w:szCs w:val="24"/>
        </w:rPr>
        <w:t xml:space="preserve">(2), 430–437.</w:t>
      </w:r>
    </w:p>
    <w:p>
      <w:pPr>
        <w:pageBreakBefore/>
      </w:pPr>
    </w:p>
    <w:p>
      <w:pPr>
        <w:pStyle w:val="Heading2"/>
        <w:keepNext/>
        <w:spacing w:after="160" w:before="360"/>
      </w:pPr>
      <w:r>
        <w:rPr>
          <w:rFonts w:ascii="Times New Roman" w:cs="Times New Roman" w:eastAsia="Times New Roman" w:hAnsi="Times New Roman"/>
          <w:b/>
          <w:bCs/>
          <w:sz w:val="28"/>
          <w:szCs w:val="28"/>
        </w:rPr>
        <w:t xml:space="preserve">Anexo A. EDT del backend (extracto de trabajo)</w:t>
      </w:r>
    </w:p>
    <w:p>
      <w:pPr>
        <w:spacing w:after="120" w:line="360"/>
        <w:jc w:val="both"/>
      </w:pPr>
      <w:r>
        <w:rPr>
          <w:rFonts w:ascii="Times New Roman" w:cs="Times New Roman" w:eastAsia="Times New Roman" w:hAnsi="Times New Roman"/>
          <w:sz w:val="24"/>
          <w:szCs w:val="24"/>
        </w:rPr>
        <w:t xml:space="preserve">Nota: los códigos 1.2.3, 1.3.1 y 1.3.2 son los de mi asignación; los demás son supuestos de trabajo que debes alinear con la EDT oficial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260"/>
      </w:tblGrid>
      <w:tr>
        <w:trPr>
          <w:cantSplit/>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Código</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Paquete de trabajo</w:t>
            </w:r>
          </w:p>
        </w:tc>
        <w:tc>
          <w:tcPr>
            <w:tcW w:type="dxa" w:w="426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Entregable verificable</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1.2.1</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Modelo de datos de las 4 listas</w:t>
            </w:r>
          </w:p>
        </w:tc>
        <w:tc>
          <w:tcPr>
            <w:tcW w:type="dxa" w:w="42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Diagrama entidad-relación aprobado</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1.2.3</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Instancia y esquema base de PostgreSQL</w:t>
            </w:r>
          </w:p>
        </w:tc>
        <w:tc>
          <w:tcPr>
            <w:tcW w:type="dxa" w:w="42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Base creada desde cero con scripts de migración</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1.3.1</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ORM y SQL transaccional</w:t>
            </w:r>
          </w:p>
        </w:tc>
        <w:tc>
          <w:tcPr>
            <w:tcW w:type="dxa" w:w="42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Pruebas de concurrencia sin doble asignación</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1.3.2</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Registro simple de las 4 listas</w:t>
            </w:r>
          </w:p>
        </w:tc>
        <w:tc>
          <w:tcPr>
            <w:tcW w:type="dxa" w:w="42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Alta, consulta, edición y baja con pruebas</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1.4.1</w:t>
            </w:r>
          </w:p>
        </w:tc>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Pruebas de consistencia y aceptación</w:t>
            </w:r>
          </w:p>
        </w:tc>
        <w:tc>
          <w:tcPr>
            <w:tcW w:type="dxa" w:w="42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Informe de resultados</w:t>
            </w:r>
          </w:p>
        </w:tc>
      </w:tr>
    </w:tbl>
    <w:p>
      <w:pPr>
        <w:pStyle w:val="Heading2"/>
        <w:keepNext/>
        <w:spacing w:after="160" w:before="360"/>
      </w:pPr>
      <w:r>
        <w:rPr>
          <w:rFonts w:ascii="Times New Roman" w:cs="Times New Roman" w:eastAsia="Times New Roman" w:hAnsi="Times New Roman"/>
          <w:b/>
          <w:bCs/>
          <w:sz w:val="28"/>
          <w:szCs w:val="28"/>
        </w:rPr>
        <w:t xml:space="preserve">Anexo B. Red de actividades y ruta crítica (CPM)</w:t>
      </w:r>
    </w:p>
    <w:p>
      <w:pPr>
        <w:spacing w:after="120" w:line="360"/>
        <w:jc w:val="both"/>
      </w:pPr>
      <w:r>
        <w:rPr>
          <w:rFonts w:ascii="Times New Roman" w:cs="Times New Roman" w:eastAsia="Times New Roman" w:hAnsi="Times New Roman"/>
          <w:sz w:val="24"/>
          <w:szCs w:val="24"/>
        </w:rPr>
        <w:t xml:space="preserve">Duraciones en días hábiles de 4 horas de trabajo (4 h por día, de lunes a viernes). El cálculo parte del 19 de octubre de 2026 y la entrega es el 15 de diciembre de 2026. El plan cubre únicamente trabajo en PostgreSQL. Son estimaciones iniciales mías. Como hay un solo desarrollador en backend, las actividades se programan en secuencia. Las cuatro listas de la base de datos llevan cada una un registro simple (alta, consulta, edición y baja); sus nombres son supuestos de trabajo que debes ajustar.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800"/>
        <w:gridCol w:w="1000"/>
        <w:gridCol w:w="1100"/>
        <w:gridCol w:w="1000"/>
        <w:gridCol w:w="1000"/>
        <w:gridCol w:w="116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Act.</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Descripción (EDT)</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Horas</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Dur. (días a 4 h/día)</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Predecesoras</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Inicio temprano</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Fin temprano</w:t>
            </w:r>
          </w:p>
        </w:tc>
        <w:tc>
          <w:tcPr>
            <w:tcW w:type="dxa" w:w="116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Holgura</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Modelo de datos y diseño de las 4 listas (1.2.1)</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B</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Instancia y esquema base de PostgreSQL (1.2.3)</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16</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4</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6</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C</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ORM y SQL transaccional (1.3.1)</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20</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B</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6</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11</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D</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Lista 1 (Cajones): registro simple (1.3.2)</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C</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11</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13</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Lista 2 (Andenes): registro simple (1.3.2)</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D</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13</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15</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F</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Lista 3 (Camiones): registro simple (1.3.2)</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E</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15</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17</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G</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Lista 4 (Operadores): registro simple (1.3.2)</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F</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17</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19</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H</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Pruebas de consistencia y concurrencia en PostgreSQL</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12</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G</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19</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22</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I</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Aceptación (1.4.1)</w:t>
            </w:r>
          </w:p>
        </w:tc>
        <w:tc>
          <w:tcPr>
            <w:tcW w:type="dxa" w:w="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H</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22</w:t>
            </w:r>
          </w:p>
        </w:tc>
        <w:tc>
          <w:tcPr>
            <w:tcW w:type="dxa" w:w="1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24</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0</w:t>
            </w:r>
          </w:p>
        </w:tc>
      </w:tr>
    </w:tbl>
    <w:p>
      <w:pPr>
        <w:spacing w:after="120"/>
      </w:pPr>
    </w:p>
    <w:p>
      <w:pPr>
        <w:spacing w:after="120" w:line="360"/>
        <w:jc w:val="both"/>
      </w:pPr>
      <w:r>
        <w:rPr>
          <w:rFonts w:ascii="Times New Roman" w:cs="Times New Roman" w:eastAsia="Times New Roman" w:hAnsi="Times New Roman"/>
          <w:b/>
          <w:bCs/>
          <w:sz w:val="24"/>
          <w:szCs w:val="24"/>
        </w:rPr>
        <w:t xml:space="preserve">Ruta crítica:</w:t>
      </w:r>
      <w:r>
        <w:rPr>
          <w:rFonts w:ascii="Times New Roman" w:cs="Times New Roman" w:eastAsia="Times New Roman" w:hAnsi="Times New Roman"/>
          <w:sz w:val="24"/>
          <w:szCs w:val="24"/>
        </w:rPr>
        <w:t xml:space="preserve"> A → B → C → D → E → F → G → H → I, con duración total de 24 días hábiles (96 horas a 4 h por día). Todas las actividades son críticas, sin holgura. Si se empieza el 19 de octubre y se descuenta el feriado del 16 de noviembre, el trabajo termina alrededor del 20 de noviembre, con unos 17 días hábiles de colchón antes de la entrega del 15 de diciembre.</w:t>
      </w:r>
    </w:p>
    <w:p>
      <w:pPr>
        <w:spacing w:after="120" w:line="360"/>
        <w:jc w:val="both"/>
      </w:pPr>
      <w:r>
        <w:rPr>
          <w:rFonts w:ascii="Times New Roman" w:cs="Times New Roman" w:eastAsia="Times New Roman" w:hAnsi="Times New Roman"/>
          <w:sz w:val="24"/>
          <w:szCs w:val="24"/>
        </w:rPr>
        <w:t xml:space="preserve">Estimación PERT de C (ORM y SQL transaccional): optimista 4 días, probable 5, pesimista 8; esperada = (4 + 4·5 + 8) / 6 ≈ 5.3 días, unas 21 horas.</w:t>
      </w:r>
    </w:p>
    <w:p>
      <w:pPr>
        <w:pStyle w:val="Heading2"/>
        <w:keepNext/>
        <w:spacing w:after="160" w:before="360"/>
      </w:pPr>
      <w:r>
        <w:rPr>
          <w:rFonts w:ascii="Times New Roman" w:cs="Times New Roman" w:eastAsia="Times New Roman" w:hAnsi="Times New Roman"/>
          <w:b/>
          <w:bCs/>
          <w:sz w:val="28"/>
          <w:szCs w:val="28"/>
        </w:rPr>
        <w:t xml:space="preserve">Anexo C. Registro de riesgos de concurrencia y consistencia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100"/>
        <w:gridCol w:w="900"/>
        <w:gridCol w:w="3000"/>
        <w:gridCol w:w="1160"/>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ID</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Riesgo</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Probabilidad</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Impacto</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Mitigación</w:t>
            </w:r>
          </w:p>
        </w:tc>
        <w:tc>
          <w:tcPr>
            <w:tcW w:type="dxa" w:w="116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rFonts w:ascii="Times New Roman" w:cs="Times New Roman" w:eastAsia="Times New Roman" w:hAnsi="Times New Roman"/>
                <w:b/>
                <w:bCs/>
                <w:sz w:val="20"/>
                <w:szCs w:val="20"/>
              </w:rPr>
              <w:t xml:space="preserve">Paquete</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R1</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Doble asignación de un cajón por solicitudes simultáneas</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Media</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Alto</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Bloqueo de fila y control optimista por versión</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1.3.1</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R2</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Interbloqueo entre transacciones que actualizan cajón y andén</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Media</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Alto</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Orden fijo de adquisición de bloqueos; tiempos límite</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1.3.1</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R3</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Migración de esquema que rompe datos existentes</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Media</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Alto</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Scripts de migración versionados; respaldo antes de migrar</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1.2.3</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R4</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Consultas lentas por falta de índices</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Media</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Medio</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Índices en las columnas de búsqueda; revisar con EXPLAIN</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1.3.2</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R5</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Datos inválidos por restricciones faltantes</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Media</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Medio</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Llaves foráneas, NOT NULL y CHECK en el esquema</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1.2.1</w:t>
            </w:r>
          </w:p>
        </w:tc>
      </w:tr>
      <w:tr>
        <w:trPr>
          <w:cantSplit/>
          <w:tblHeader w:val="false"/>
        </w:trPr>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R6</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Subestimación de tareas (falacia de planificación)</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Alta</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Medio</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Rangos PERT y colchón al final de la cadena</w:t>
            </w:r>
          </w:p>
        </w:tc>
        <w:tc>
          <w:tcPr>
            <w:tcW w:type="dxa" w:w="11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Times New Roman" w:cs="Times New Roman" w:eastAsia="Times New Roman" w:hAnsi="Times New Roman"/>
                <w:b w:val="false"/>
                <w:bCs w:val="false"/>
                <w:sz w:val="20"/>
                <w:szCs w:val="20"/>
              </w:rPr>
              <w:t xml:space="preserve">Todos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2026-10-19T23:13:33.470Z</dcterms:created>
  <dcterms:modified xsi:type="dcterms:W3CDTF">2026-10-19T23:13:33.477Z</dcterms:modified>
</cp:coreProperties>
</file>

<file path=docProps/custom.xml><?xml version="1.0" encoding="utf-8"?>
<Properties xmlns="http://schemas.openxmlformats.org/officeDocument/2006/custom-properties" xmlns:vt="http://schemas.openxmlformats.org/officeDocument/2006/docPropsVTypes"/>
</file>