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120" w:lineRule="auto"/>
        <w:jc w:val="center"/>
        <w:rPr/>
      </w:pPr>
      <w:r w:rsidDel="00000000" w:rsidR="00000000" w:rsidRPr="00000000">
        <w:rPr>
          <w:rFonts w:ascii="Times New Roman" w:cs="Times New Roman" w:eastAsia="Times New Roman" w:hAnsi="Times New Roman"/>
          <w:b w:val="1"/>
          <w:bCs w:val="1"/>
          <w:sz w:val="32"/>
          <w:szCs w:val="32"/>
          <w:rtl w:val="0"/>
        </w:rPr>
        <w:t xml:space="preserve">Datos que no se improvisan: por qué la persistencia en PostgreSQL exige ruta crítica antes que agilidad</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Ensayo crítico individual – Actividad 03-A: Los fundamentos de la planificación de proyectos</w:t>
      </w:r>
      <w:r w:rsidDel="00000000" w:rsidR="00000000" w:rsidRPr="00000000">
        <w:rPr>
          <w:rtl w:val="0"/>
        </w:rPr>
      </w:r>
    </w:p>
    <w:p w:rsidR="00000000" w:rsidDel="00000000" w:rsidP="00000000" w:rsidRDefault="00000000" w:rsidRPr="00000000" w14:paraId="0000000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Jos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&amp; Infrastructure Engineer ·</w:t>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sz w:val="24"/>
          <w:szCs w:val="24"/>
          <w:rtl w:val="0"/>
        </w:rPr>
        <w:t xml:space="preserve"> Equipo 06 · Proyecto Integrador I (ML-Nav &amp; Logistics: Consola Web de Patio y Arquitectura CEDIS)</w:t>
      </w:r>
      <w:r w:rsidDel="00000000" w:rsidR="00000000" w:rsidRPr="00000000">
        <w:rPr>
          <w:rtl w:val="0"/>
        </w:rPr>
      </w:r>
    </w:p>
    <w:p w:rsidR="00000000" w:rsidDel="00000000" w:rsidP="00000000" w:rsidRDefault="00000000" w:rsidRPr="00000000" w14:paraId="00000006">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Resumen</w:t>
      </w:r>
      <w:r w:rsidDel="00000000" w:rsidR="00000000" w:rsidRPr="00000000">
        <w:rPr>
          <w:rtl w:val="0"/>
        </w:rPr>
      </w:r>
    </w:p>
    <w:p w:rsidR="00000000" w:rsidDel="00000000" w:rsidP="00000000" w:rsidRDefault="00000000" w:rsidRPr="00000000" w14:paraId="0000000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Este ensayo revisa trece referentes de planificación (Boehm, PMBOK 7, Manifiesto Ágil, ISO 29148, EDT, MoSCoW, Gantt, CPM, PERT, falacia de planificación, control de cambios, Kanban y Roadmap) aplicados a la capa de datos de la Consola Web de Patio, que se trabaja exclusivamente en PostgreSQL: modelo de datos, SQL transaccional y el registro simple de cuatro listas. Sostengo que el diseño de la persistencia, con sus transacciones y su control de concurrencia, se debe ordenar con CPM antes de trabajar de forma ágil. También respondo a quienes dicen que el esquema y las transacciones se pueden improvisar y corregir después, y aplico todo a mis tareas 1.2.3, 1.3.1 y 1.3.2.</w:t>
      </w:r>
      <w:r w:rsidDel="00000000" w:rsidR="00000000" w:rsidRPr="00000000">
        <w:rPr>
          <w:rtl w:val="0"/>
        </w:rPr>
      </w:r>
    </w:p>
    <w:p w:rsidR="00000000" w:rsidDel="00000000" w:rsidP="00000000" w:rsidRDefault="00000000" w:rsidRPr="00000000" w14:paraId="0000000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ruta crítica, CPM, PostgreSQL, transacciones, concurrencia, consistencia de datos, planificación híbrida.</w:t>
      </w:r>
      <w:r w:rsidDel="00000000" w:rsidR="00000000" w:rsidRPr="00000000">
        <w:rPr>
          <w:rtl w:val="0"/>
        </w:rPr>
      </w:r>
    </w:p>
    <w:p w:rsidR="00000000" w:rsidDel="00000000" w:rsidP="00000000" w:rsidRDefault="00000000" w:rsidRPr="00000000" w14:paraId="00000009">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1. Introducción</w:t>
      </w:r>
      <w:r w:rsidDel="00000000" w:rsidR="00000000" w:rsidRPr="00000000">
        <w:rPr>
          <w:rtl w:val="0"/>
        </w:rPr>
      </w:r>
    </w:p>
    <w:p w:rsidR="00000000" w:rsidDel="00000000" w:rsidP="00000000" w:rsidRDefault="00000000" w:rsidRPr="00000000" w14:paraId="0000000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En un patio logístico, un cajón mal registrado hace perder tiempo: camiones esperando, andenes vacíos y decisiones basadas en información equivocada. Casi siempre el problema no es la pantalla, sino que los datos no coinciden con lo que pasa en el patio. El proyecto es una consola web de patio y mi parte es la base de datos: PostgreSQL guarda el estado de los cajones, los andenes y las demás listas, y toda la consola depende de que esos datos sean correctos y consistentes. No hay app móvil.</w:t>
      </w:r>
      <w:r w:rsidDel="00000000" w:rsidR="00000000" w:rsidRPr="00000000">
        <w:rPr>
          <w:rtl w:val="0"/>
        </w:rPr>
      </w:r>
    </w:p>
    <w:p w:rsidR="00000000" w:rsidDel="00000000" w:rsidP="00000000" w:rsidRDefault="00000000" w:rsidRPr="00000000" w14:paraId="0000000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Esta capa tiene un problema para planificar: sus piezas dependen unas de otras. No se puede escribir SQL transaccional sin un modelo de datos, ni registrar las listas sin las transacciones, ni probar la concurrencia sin las listas. La pregunta que guía este ensayo es: </w:t>
      </w:r>
      <w:r w:rsidDel="00000000" w:rsidR="00000000" w:rsidRPr="00000000">
        <w:rPr>
          <w:rFonts w:ascii="Times New Roman" w:cs="Times New Roman" w:eastAsia="Times New Roman" w:hAnsi="Times New Roman"/>
          <w:b w:val="1"/>
          <w:bCs w:val="1"/>
          <w:sz w:val="24"/>
          <w:szCs w:val="24"/>
          <w:rtl w:val="0"/>
        </w:rPr>
        <w:t xml:space="preserve">¿puede un equipo que construye la capa de datos transaccional en PostgreSQL planificarla solo con ciclos ágiles, o necesita antes un análisis formal de dependencias?</w:t>
      </w:r>
      <w:r w:rsidDel="00000000" w:rsidR="00000000" w:rsidRPr="00000000">
        <w:rPr>
          <w:rtl w:val="0"/>
        </w:rPr>
      </w:r>
    </w:p>
    <w:p w:rsidR="00000000" w:rsidDel="00000000" w:rsidP="00000000" w:rsidRDefault="00000000" w:rsidRPr="00000000" w14:paraId="0000000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Tesis: el diseño de la persistencia en PostgreSQL (esquema, transacciones y control de concurrencia) necesita un análisis CPM de ruta crítica en el backend antes de adoptar flujos ágiles. La agilidad sirve para aprender de lo incierto; el CPM protege el orden de lo que depende de otra cosa.</w:t>
      </w:r>
      <w:r w:rsidDel="00000000" w:rsidR="00000000" w:rsidRPr="00000000">
        <w:rPr>
          <w:rtl w:val="0"/>
        </w:rPr>
      </w:r>
    </w:p>
    <w:p w:rsidR="00000000" w:rsidDel="00000000" w:rsidP="00000000" w:rsidRDefault="00000000" w:rsidRPr="00000000" w14:paraId="0000000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En cada tema uso cinco elementos: concepto, postura del autor, fortaleza, limitación y cómo lo uso en mi backend. Mi lista tiene trece referentes; los agrupé en once temas, uniendo Gantt con CPM y PERT con la falacia de planificación porque se relacionan mucho.</w:t>
      </w:r>
      <w:r w:rsidDel="00000000" w:rsidR="00000000" w:rsidRPr="00000000">
        <w:rPr>
          <w:rtl w:val="0"/>
        </w:rPr>
      </w:r>
    </w:p>
    <w:p w:rsidR="00000000" w:rsidDel="00000000" w:rsidP="00000000" w:rsidRDefault="00000000" w:rsidRPr="00000000" w14:paraId="0000000E">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2. Desarrollo por ejes</w:t>
      </w:r>
      <w:r w:rsidDel="00000000" w:rsidR="00000000" w:rsidRPr="00000000">
        <w:rPr>
          <w:rtl w:val="0"/>
        </w:rPr>
      </w:r>
    </w:p>
    <w:p w:rsidR="00000000" w:rsidDel="00000000" w:rsidP="00000000" w:rsidRDefault="00000000" w:rsidRPr="00000000" w14:paraId="0000000F">
      <w:pPr>
        <w:pStyle w:val="Heading3"/>
        <w:keepNext w:val="1"/>
        <w:spacing w:after="120" w:befor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Eje 1. Marcos de ciclo de vida y gestión</w:t>
      </w:r>
      <w:r w:rsidDel="00000000" w:rsidR="00000000" w:rsidRPr="00000000">
        <w:rPr>
          <w:rtl w:val="0"/>
        </w:rPr>
      </w:r>
    </w:p>
    <w:p w:rsidR="00000000" w:rsidDel="00000000" w:rsidP="00000000" w:rsidRDefault="00000000" w:rsidRPr="00000000" w14:paraId="00000010">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1. Modelo en Espiral (Boehm, 1988).</w:t>
      </w:r>
      <w:r w:rsidDel="00000000" w:rsidR="00000000" w:rsidRPr="00000000">
        <w:rPr>
          <w:rFonts w:ascii="Times New Roman" w:cs="Times New Roman" w:eastAsia="Times New Roman" w:hAnsi="Times New Roman"/>
          <w:sz w:val="24"/>
          <w:szCs w:val="24"/>
          <w:rtl w:val="0"/>
        </w:rPr>
        <w:t xml:space="preserve"> Es un ciclo que se repite por vueltas: en cada una se fijan objetivos, se evalúan riesgos, se desarrolla, se prueba y se planea la siguiente. Boehm dice que el riesgo, y no el documento ni el código, debe decidir el siguiente paso. Obliga a atacar primero lo más peligroso, y eso sirve cuando hay un requisito de latencia crítico. Pide experiencia para evaluar riesgos y puede salir caro en equipos pequeños. Lo uso para probar pronto en PostgreSQL el caso más riesgoso, la asignación simultánea de un mismo cajón, porque ese es el mayor riesgo del proyecto.</w:t>
      </w:r>
      <w:r w:rsidDel="00000000" w:rsidR="00000000" w:rsidRPr="00000000">
        <w:rPr>
          <w:rtl w:val="0"/>
        </w:rPr>
      </w:r>
    </w:p>
    <w:p w:rsidR="00000000" w:rsidDel="00000000" w:rsidP="00000000" w:rsidRDefault="00000000" w:rsidRPr="00000000" w14:paraId="00000011">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2. PMBOK 7 (PMI, 2021).</w:t>
      </w:r>
      <w:r w:rsidDel="00000000" w:rsidR="00000000" w:rsidRPr="00000000">
        <w:rPr>
          <w:rFonts w:ascii="Times New Roman" w:cs="Times New Roman" w:eastAsia="Times New Roman" w:hAnsi="Times New Roman"/>
          <w:sz w:val="24"/>
          <w:szCs w:val="24"/>
          <w:rtl w:val="0"/>
        </w:rPr>
        <w:t xml:space="preserve"> Es una guía basada en principios y dominios de desempeño, no en procesos fijos. Propone adaptar el enfoque (predictivo, adaptativo o híbrido) al contexto del proyecto. Da permiso formal para mezclar métodos. Como es muy general, la decisión práctica queda en manos del equipo. Me respalda para usar un enfoque híbrido: ruta crítica en los cimientos e iteraciones en la interfaz.</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3. Manifiesto Ágil (Beck et al., 2001).</w:t>
      </w:r>
      <w:r w:rsidDel="00000000" w:rsidR="00000000" w:rsidRPr="00000000">
        <w:rPr>
          <w:rFonts w:ascii="Times New Roman" w:cs="Times New Roman" w:eastAsia="Times New Roman" w:hAnsi="Times New Roman"/>
          <w:sz w:val="24"/>
          <w:szCs w:val="24"/>
          <w:rtl w:val="0"/>
        </w:rPr>
        <w:t xml:space="preserve"> Son cuatro valores y doce principios que priorizan a las personas, el software funcionando, la colaboración con el cliente y responder al cambio. Sus autores dicen que responder al cambio vale más que seguir un plan. Reduce el desperdicio cuando los requisitos cambian mucho, como pasa con la visualización del patio. No ofrece forma de calcular dependencias ni holguras. Sirve para la consola web, pero no alcanza para decidir si el modelo de datos debe existir antes que el SQL transaccional.</w:t>
      </w:r>
      <w:r w:rsidDel="00000000" w:rsidR="00000000" w:rsidRPr="00000000">
        <w:rPr>
          <w:rtl w:val="0"/>
        </w:rPr>
      </w:r>
    </w:p>
    <w:p w:rsidR="00000000" w:rsidDel="00000000" w:rsidP="00000000" w:rsidRDefault="00000000" w:rsidRPr="00000000" w14:paraId="00000013">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Diálogo entre autores.</w:t>
      </w:r>
      <w:r w:rsidDel="00000000" w:rsidR="00000000" w:rsidRPr="00000000">
        <w:rPr>
          <w:rFonts w:ascii="Times New Roman" w:cs="Times New Roman" w:eastAsia="Times New Roman" w:hAnsi="Times New Roman"/>
          <w:sz w:val="24"/>
          <w:szCs w:val="24"/>
          <w:rtl w:val="0"/>
        </w:rPr>
        <w:t xml:space="preserve"> Boehm (1988) y el Manifiesto Ágil coinciden en que planear todo de una sola vez es peligroso, pero no en el criterio. Boehm ordena las iteraciones por riesgo; Beck et al. (2001) las ordenan por el valor que ve el cliente. Beck et al. dirían que el riesgo se descubre entregando software. Boehm respondería que, si el riesgo es una condición de carrera, descubrirla en producción llega tarde. El PMI (2021) hace de árbitro sin decidir: acepta ambos enfoques y deja la elección al contexto. Yo me acerco a Boehm en el backend: el riesgo técnico se puede calcular antes, y la dependencia entre componentes es una propiedad del diseño, no una opinión del cliente.</w:t>
      </w:r>
      <w:r w:rsidDel="00000000" w:rsidR="00000000" w:rsidRPr="00000000">
        <w:rPr>
          <w:rtl w:val="0"/>
        </w:rPr>
      </w:r>
    </w:p>
    <w:p w:rsidR="00000000" w:rsidDel="00000000" w:rsidP="00000000" w:rsidRDefault="00000000" w:rsidRPr="00000000" w14:paraId="00000014">
      <w:pPr>
        <w:pStyle w:val="Heading3"/>
        <w:keepNext w:val="1"/>
        <w:spacing w:after="120" w:befor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Eje 2. Requisitos, alcance y priorización</w:t>
      </w:r>
      <w:r w:rsidDel="00000000" w:rsidR="00000000" w:rsidRPr="00000000">
        <w:rPr>
          <w:rtl w:val="0"/>
        </w:rPr>
      </w:r>
    </w:p>
    <w:p w:rsidR="00000000" w:rsidDel="00000000" w:rsidP="00000000" w:rsidRDefault="00000000" w:rsidRPr="00000000" w14:paraId="00000015">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4. ISO/IEC/IEEE 29148 (2018).</w:t>
      </w:r>
      <w:r w:rsidDel="00000000" w:rsidR="00000000" w:rsidRPr="00000000">
        <w:rPr>
          <w:rFonts w:ascii="Times New Roman" w:cs="Times New Roman" w:eastAsia="Times New Roman" w:hAnsi="Times New Roman"/>
          <w:sz w:val="24"/>
          <w:szCs w:val="24"/>
          <w:rtl w:val="0"/>
        </w:rPr>
        <w:t xml:space="preserve"> Es una norma de ingeniería de requisitos que define cómo debe ser un buen requisito: necesario, verificable, claro y trazable. Sostiene que un requisito que no se puede verificar no se puede gestionar. Convierte «guardar bien» en «asignar un cajón sin doble asignación, comprobado con pruebas de concurrencia». Tanta formalidad puede frenar requisitos de interfaz que cambian seguido. La uso en los requisitos no funcionales del backend: consistencia, integridad de los datos y tiempo de respuesta de las consultas.</w:t>
      </w:r>
      <w:r w:rsidDel="00000000" w:rsidR="00000000" w:rsidRPr="00000000">
        <w:rPr>
          <w:rtl w:val="0"/>
        </w:rPr>
      </w:r>
    </w:p>
    <w:p w:rsidR="00000000" w:rsidDel="00000000" w:rsidP="00000000" w:rsidRDefault="00000000" w:rsidRPr="00000000" w14:paraId="0000001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5. EDT/WBS (PMI, 2019).</w:t>
      </w:r>
      <w:r w:rsidDel="00000000" w:rsidR="00000000" w:rsidRPr="00000000">
        <w:rPr>
          <w:rFonts w:ascii="Times New Roman" w:cs="Times New Roman" w:eastAsia="Times New Roman" w:hAnsi="Times New Roman"/>
          <w:sz w:val="24"/>
          <w:szCs w:val="24"/>
          <w:rtl w:val="0"/>
        </w:rPr>
        <w:t xml:space="preserve"> Divide el alcance total en entregables, de lo general a lo particular. El estándar pide la regla del 100 %: la EDT debe incluir todo el alcance y solo el alcance. Hace visibles paquetes como 1.2.3, 1.3.1 y 1.3.2 y evita trabajo oculto. No dice el orden ni la duración; por sí sola no muestra qué retrasa a qué. Es lo que necesita el CPM: sin paquetes claros no hay red de actividades.</w:t>
      </w:r>
      <w:r w:rsidDel="00000000" w:rsidR="00000000" w:rsidRPr="00000000">
        <w:rPr>
          <w:rtl w:val="0"/>
        </w:rPr>
      </w:r>
    </w:p>
    <w:p w:rsidR="00000000" w:rsidDel="00000000" w:rsidP="00000000" w:rsidRDefault="00000000" w:rsidRPr="00000000" w14:paraId="00000017">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6. MoSCoW: Agile Business Consortium frente a Achimugu et al. (2014).</w:t>
      </w:r>
      <w:r w:rsidDel="00000000" w:rsidR="00000000" w:rsidRPr="00000000">
        <w:rPr>
          <w:rFonts w:ascii="Times New Roman" w:cs="Times New Roman" w:eastAsia="Times New Roman" w:hAnsi="Times New Roman"/>
          <w:sz w:val="24"/>
          <w:szCs w:val="24"/>
          <w:rtl w:val="0"/>
        </w:rPr>
        <w:t xml:space="preserve"> Es una técnica para priorizar en Must, Should, Could y Won't have. El Agile Business Consortium la presenta como una forma simple y acordada de limitar el alcance de un incremento con tiempo fijo. Achimugu et al. (2014), en su revisión sistemática, advierten que muchas técnicas de priorización, incluidas las de categorías, son subjetivas, escalan mal y casi no consideran las dependencias. Un «Must» puede depender de un «Should» técnico y la técnica no lo detecta. Uso MoSCoW para las funciones visibles, pero marco como Must toda tarea de la ruta crítica, aunque el usuario no la vea.</w:t>
      </w:r>
      <w:r w:rsidDel="00000000" w:rsidR="00000000" w:rsidRPr="00000000">
        <w:rPr>
          <w:rtl w:val="0"/>
        </w:rPr>
      </w:r>
    </w:p>
    <w:p w:rsidR="00000000" w:rsidDel="00000000" w:rsidP="00000000" w:rsidRDefault="00000000" w:rsidRPr="00000000" w14:paraId="00000018">
      <w:pPr>
        <w:pStyle w:val="Heading3"/>
        <w:keepNext w:val="1"/>
        <w:spacing w:after="120" w:befor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Eje 3. Programación y estimación</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7. Gantt (Wilson, 2003) y CPM (Kelley, 1961).</w:t>
      </w:r>
      <w:r w:rsidDel="00000000" w:rsidR="00000000" w:rsidRPr="00000000">
        <w:rPr>
          <w:rFonts w:ascii="Times New Roman" w:cs="Times New Roman" w:eastAsia="Times New Roman" w:hAnsi="Times New Roman"/>
          <w:sz w:val="24"/>
          <w:szCs w:val="24"/>
          <w:rtl w:val="0"/>
        </w:rPr>
        <w:t xml:space="preserve"> El Gantt muestra las actividades como barras en una línea de tiempo; el CPM calcula tiempos tempranos y tardíos para encontrar la secuencia más corta sin holgura. Wilson (2003) reconoce el valor del Gantt para comunicar, pero recuerda que por sí solo no modela dependencias complejas; Kelley (1961) formaliza la base matemática de la planificación por ruta crítica. Juntos permiten calcular y comunicar. Ambos suponen duraciones más o menos conocidas y se desactualizan si no se mantienen. El CPM me dice que el modelo de datos, el ORM y las listas forman una cadena, y el Gantt se lo muestra al equipo (Anexo B).</w:t>
      </w:r>
      <w:r w:rsidDel="00000000" w:rsidR="00000000" w:rsidRPr="00000000">
        <w:rPr>
          <w:rtl w:val="0"/>
        </w:rPr>
      </w:r>
    </w:p>
    <w:p w:rsidR="00000000" w:rsidDel="00000000" w:rsidP="00000000" w:rsidRDefault="00000000" w:rsidRPr="00000000" w14:paraId="0000001A">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8. PERT (Malcolm et al., 1959) frente a MacCrimmon y Ryavec (1964), y falacia de planificación (Buehler et al., 1994).</w:t>
      </w:r>
      <w:r w:rsidDel="00000000" w:rsidR="00000000" w:rsidRPr="00000000">
        <w:rPr>
          <w:rFonts w:ascii="Times New Roman" w:cs="Times New Roman" w:eastAsia="Times New Roman" w:hAnsi="Times New Roman"/>
          <w:sz w:val="24"/>
          <w:szCs w:val="24"/>
          <w:rtl w:val="0"/>
        </w:rPr>
        <w:t xml:space="preserve"> PERT incluye la incertidumbre con tres estimaciones: optimista, probable y pesimista. Malcolm et al. (1959) lo propusieron para programas de investigación y desarrollo con duraciones inciertas; MacCrimmon y Ryavec (1964) cuestionaron sus supuestos, sobre todo la distribución que usa y que subestima la duración esperada cuando hay rutas casi críticas. Aun así, obliga a poner la incertidumbre por escrito. Buehler et al. (1994) muestran que la gente subestima cuánto tardará en sus propias tareas, aunque haya fallado antes. Para mí es una advertencia práctica: mis estimaciones de SQL transaccional y concurrencia seguramente son optimistas, así que uso rangos y dejo holgura de contingencia.</w:t>
      </w:r>
      <w:r w:rsidDel="00000000" w:rsidR="00000000" w:rsidRPr="00000000">
        <w:rPr>
          <w:rtl w:val="0"/>
        </w:rPr>
      </w:r>
    </w:p>
    <w:p w:rsidR="00000000" w:rsidDel="00000000" w:rsidP="00000000" w:rsidRDefault="00000000" w:rsidRPr="00000000" w14:paraId="0000001B">
      <w:pPr>
        <w:pStyle w:val="Heading3"/>
        <w:keepNext w:val="1"/>
        <w:spacing w:after="120" w:befor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Eje 4. Control, flujo y visión</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9. Control de cambios (ISO 21502, 2020).</w:t>
      </w:r>
      <w:r w:rsidDel="00000000" w:rsidR="00000000" w:rsidRPr="00000000">
        <w:rPr>
          <w:rFonts w:ascii="Times New Roman" w:cs="Times New Roman" w:eastAsia="Times New Roman" w:hAnsi="Times New Roman"/>
          <w:sz w:val="24"/>
          <w:szCs w:val="24"/>
          <w:rtl w:val="0"/>
        </w:rPr>
        <w:t xml:space="preserve"> Es un proceso formal para evaluar, aprobar y registrar cambios a la línea base. La norma plantea que cada cambio se valore por su impacto en alcance, tiempo, costo y riesgo antes de aceptarlo. Protege la ruta crítica de cambios casuales. Si es muy pesado, castiga hasta los cambios pequeños. Lo aplico con un umbral: un cambio al esquema de PostgreSQL o a una restricción de integridad se evalúa; un ajuste visual no.</w:t>
      </w:r>
      <w:r w:rsidDel="00000000" w:rsidR="00000000" w:rsidRPr="00000000">
        <w:rPr>
          <w:rtl w:val="0"/>
        </w:rPr>
      </w:r>
    </w:p>
    <w:p w:rsidR="00000000" w:rsidDel="00000000" w:rsidP="00000000" w:rsidRDefault="00000000" w:rsidRPr="00000000" w14:paraId="0000001D">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10. Kanban (Ohno, 1988; Vacanti y Coleman, 2020).</w:t>
      </w:r>
      <w:r w:rsidDel="00000000" w:rsidR="00000000" w:rsidRPr="00000000">
        <w:rPr>
          <w:rFonts w:ascii="Times New Roman" w:cs="Times New Roman" w:eastAsia="Times New Roman" w:hAnsi="Times New Roman"/>
          <w:sz w:val="24"/>
          <w:szCs w:val="24"/>
          <w:rtl w:val="0"/>
        </w:rPr>
        <w:t xml:space="preserve"> Es un sistema de flujo que limita el trabajo en curso y muestra los cuellos de botella. Ohno (1988) lo origina en la producción justo a tiempo; Vacanti y Coleman (2020) lo plantean como guía para manejar el flujo con límites de trabajo en proceso y métricas como el tiempo de ciclo. Va bien para tareas repetitivas y correcciones. No decide qué debe existir antes que qué; el flujo no reemplaza la lógica de precedencia. Lo dejo para la etapa posterior: errores, mejoras y soporte, cuando la infraestructura ya esté estable.</w:t>
      </w:r>
      <w:r w:rsidDel="00000000" w:rsidR="00000000" w:rsidRPr="00000000">
        <w:rPr>
          <w:rtl w:val="0"/>
        </w:rPr>
      </w:r>
    </w:p>
    <w:p w:rsidR="00000000" w:rsidDel="00000000" w:rsidP="00000000" w:rsidRDefault="00000000" w:rsidRPr="00000000" w14:paraId="0000001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Tema 11. Roadmap (Phaal et al., 2004).</w:t>
      </w:r>
      <w:r w:rsidDel="00000000" w:rsidR="00000000" w:rsidRPr="00000000">
        <w:rPr>
          <w:rFonts w:ascii="Times New Roman" w:cs="Times New Roman" w:eastAsia="Times New Roman" w:hAnsi="Times New Roman"/>
          <w:sz w:val="24"/>
          <w:szCs w:val="24"/>
          <w:rtl w:val="0"/>
        </w:rPr>
        <w:t xml:space="preserve"> Es una representación por capas de objetivos, capacidades tecnológicas y tiempo. Phaal et al. (2004) lo plantean como marco para alinear la evolución tecnológica con las necesidades, y que se pueda explicar a perfiles técnicos y no técnicos. Muestra el panorama sin demasiado detalle. Sin duraciones de respaldo es solo una intención, no un plan. Mi roadmap tendrá tres etapas: modelo y esquema, transacciones y listas, y pruebas con aceptación.</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Diálogo entre autores.</w:t>
      </w:r>
      <w:r w:rsidDel="00000000" w:rsidR="00000000" w:rsidRPr="00000000">
        <w:rPr>
          <w:rFonts w:ascii="Times New Roman" w:cs="Times New Roman" w:eastAsia="Times New Roman" w:hAnsi="Times New Roman"/>
          <w:sz w:val="24"/>
          <w:szCs w:val="24"/>
          <w:rtl w:val="0"/>
        </w:rPr>
        <w:t xml:space="preserve"> ISO 21502 (2020) y Ohno (1988) parten de ideas opuestas: la primera protege la línea base de los cambios y el segundo defiende un flujo que se adapta todo el tiempo. Vacanti y Coleman (2020) suavizan esa oposición: Kanban no prohíbe tener políticas, sino que las hace visibles, así que un control de cambios ligero cabe en una columna del tablero. Phaal et al. (2004) sirven de puente: el roadmap dice hacia dónde va el sistema, el control de cambios cuida la ruta y Kanban maneja el flujo diario. Concluyo que no compiten; están en capas distintas, y la capa de los cimientos le corresponde al CPM.</w:t>
      </w:r>
      <w:r w:rsidDel="00000000" w:rsidR="00000000" w:rsidRPr="00000000">
        <w:rPr>
          <w:rtl w:val="0"/>
        </w:rPr>
      </w:r>
    </w:p>
    <w:p w:rsidR="00000000" w:rsidDel="00000000" w:rsidP="00000000" w:rsidRDefault="00000000" w:rsidRPr="00000000" w14:paraId="00000020">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3. Contraargumento y refutación</w:t>
      </w:r>
      <w:r w:rsidDel="00000000" w:rsidR="00000000" w:rsidRPr="00000000">
        <w:rPr>
          <w:rtl w:val="0"/>
        </w:rPr>
      </w:r>
    </w:p>
    <w:p w:rsidR="00000000" w:rsidDel="00000000" w:rsidP="00000000" w:rsidRDefault="00000000" w:rsidRPr="00000000" w14:paraId="00000021">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Contraargumento.</w:t>
      </w:r>
      <w:r w:rsidDel="00000000" w:rsidR="00000000" w:rsidRPr="00000000">
        <w:rPr>
          <w:rFonts w:ascii="Times New Roman" w:cs="Times New Roman" w:eastAsia="Times New Roman" w:hAnsi="Times New Roman"/>
          <w:sz w:val="24"/>
          <w:szCs w:val="24"/>
          <w:rtl w:val="0"/>
        </w:rPr>
        <w:t xml:space="preserve"> Alguien podría decir: «PostgreSQL es una base de datos madura y el ORM resuelve casi todo; el esquema se puede diseñar de forma ágil, poco a poco, y los bloqueos o la consistencia se corrigen cuando aparezcan». Es una posición razonable: la herramienta es robusta y migrar un esquema es posible.</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Refutación.</w:t>
      </w:r>
      <w:r w:rsidDel="00000000" w:rsidR="00000000" w:rsidRPr="00000000">
        <w:rPr>
          <w:rFonts w:ascii="Times New Roman" w:cs="Times New Roman" w:eastAsia="Times New Roman" w:hAnsi="Times New Roman"/>
          <w:sz w:val="24"/>
          <w:szCs w:val="24"/>
          <w:rtl w:val="0"/>
        </w:rPr>
        <w:t xml:space="preserve"> Falla por tres razones. Primera, las migraciones tardías sobre datos reales cuestan: cambiar llaves, tipos o restricciones cuando ya hay registros obliga a mover datos y a reescribir el ORM, las consultas y las pruebas. Eso no se resuelve con una iteración más; conviene decidir antes el modelo y las restricciones de integridad. Segunda, las transacciones se diseñan: con el aislamiento por defecto de PostgreSQL (READ COMMITTED), dos operadores pueden leer el mismo cajón como libre y asignarlo los dos. Evitarlo exige elegir antes entre bloqueo de fila, restricciones únicas o control optimista con una columna de versión. Tercera, los interbloqueos aparecen con concurrencia real: PostgreSQL detecta el ciclo y cancela una de las transacciones, pero evitarlo exige un orden fijo para adquirir los bloqueos. Una demo de sprint con un solo usuario no lo muestra; solo lo hacen pruebas de concurrencia diseñadas para eso. Esto coincide con la lógica de Boehm (1988): se ataca el riesgo antes de construir encima.</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Además, corregir tarde cuesta más. Si las listas se registran sin un modelo transaccional, cambiarlo después obliga a reescribir el ORM, las consultas y las pruebas. Eso es un cambio sobre la ruta crítica, y Buehler et al. (1994) sugieren que lo vamos a subestimar. Le doy un punto al crítico: la agilidad sí sirve dentro de la capa, por ejemplo para ajustar índices o consultas. Pero lo que debe estar firme antes de iterar es la base en orden: modelo de datos, restricciones y transacciones.</w:t>
      </w:r>
      <w:r w:rsidDel="00000000" w:rsidR="00000000" w:rsidRPr="00000000">
        <w:rPr>
          <w:rtl w:val="0"/>
        </w:rPr>
      </w:r>
    </w:p>
    <w:p w:rsidR="00000000" w:rsidDel="00000000" w:rsidP="00000000" w:rsidRDefault="00000000" w:rsidRPr="00000000" w14:paraId="00000024">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4. Aplicación a mi Proyecto Integrador</w:t>
      </w:r>
      <w:r w:rsidDel="00000000" w:rsidR="00000000" w:rsidRPr="00000000">
        <w:rPr>
          <w:rtl w:val="0"/>
        </w:rPr>
      </w:r>
    </w:p>
    <w:p w:rsidR="00000000" w:rsidDel="00000000" w:rsidP="00000000" w:rsidRDefault="00000000" w:rsidRPr="00000000" w14:paraId="0000002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Mi parte en el Equipo 06 se trabaja exclusivamente en PostgreSQL: la instancia y el esquema base (1.2.3), el ORM y SQL transaccional (1.3.1) y el registro simple de las cuatro listas (1.3.2). Trabajando 4 horas por día, el CPM (Anexo B) da una ruta crítica de 24 días hábiles, que termina antes de la entrega del 15 de diciembre.</w:t>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EDT 1.2.3. Instancia y esquema base de PostgreSQL.</w:t>
      </w:r>
      <w:r w:rsidDel="00000000" w:rsidR="00000000" w:rsidRPr="00000000">
        <w:rPr>
          <w:rFonts w:ascii="Times New Roman" w:cs="Times New Roman" w:eastAsia="Times New Roman" w:hAnsi="Times New Roman"/>
          <w:sz w:val="24"/>
          <w:szCs w:val="24"/>
          <w:rtl w:val="0"/>
        </w:rPr>
        <w:t xml:space="preserve"> Es la tarea que va primero: sin una base configurada y con el esquema inicial, nadie prueba nada. Según el CPM no tiene holgura y bloquea a las demás. Su criterio de verificación, siguiendo ISO 29148, es que la base se pueda crear desde cero con scripts de migración, con roles, llaves y restricciones definidas. También aplico el Espiral desde aquí: incluyo una prueba temprana de asignación simultánea.</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EDT 1.3.1. ORM y SQL transaccional.</w:t>
      </w:r>
      <w:r w:rsidDel="00000000" w:rsidR="00000000" w:rsidRPr="00000000">
        <w:rPr>
          <w:rFonts w:ascii="Times New Roman" w:cs="Times New Roman" w:eastAsia="Times New Roman" w:hAnsi="Times New Roman"/>
          <w:sz w:val="24"/>
          <w:szCs w:val="24"/>
          <w:rtl w:val="0"/>
        </w:rPr>
        <w:t xml:space="preserve"> Aquí se decide la consistencia. Planeo usar transacciones con un aislamiento adecuado, bloqueo de fila para asignar cajones y una columna de versión para control optimista. Documento los casos de conflicto (doble asignación y cambio simultáneo de un andén) y los trato como requisitos Must en MoSCoW, aunque el usuario final no los vea. Si después cambia el esquema, pasa por control de cambios (ISO 21502).</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EDT 1.3.2. Registro simple de las cuatro listas.</w:t>
      </w:r>
      <w:r w:rsidDel="00000000" w:rsidR="00000000" w:rsidRPr="00000000">
        <w:rPr>
          <w:rFonts w:ascii="Times New Roman" w:cs="Times New Roman" w:eastAsia="Times New Roman" w:hAnsi="Times New Roman"/>
          <w:sz w:val="24"/>
          <w:szCs w:val="24"/>
          <w:rtl w:val="0"/>
        </w:rPr>
        <w:t xml:space="preserve"> Depende de las dos tareas anteriores. Cada lista lleva alta, consulta, edición y baja, con llaves foráneas y restricciones que impidan datos inválidos, y se escribe con las transacciones de 1.3.1. Su criterio de aceptación se puede medir: cada operación pasa sus pruebas y una prueba de concurrencia no produce doble asignación de un cajón. Por la falacia de planificación, estimo con rango PERT y dejo un colchón al final de la cadena.</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Con esa base en orden, el equipo ya puede trabajar de forma ágil: sprints para la consola, Kanban para defectos y un roadmap de tres etapas. La planificación híbrida no es un punto medio tibio; es darle a cada capa la técnica que su naturaleza pide.</w:t>
      </w:r>
      <w:r w:rsidDel="00000000" w:rsidR="00000000" w:rsidRPr="00000000">
        <w:rPr>
          <w:rtl w:val="0"/>
        </w:rPr>
      </w:r>
    </w:p>
    <w:p w:rsidR="00000000" w:rsidDel="00000000" w:rsidP="00000000" w:rsidRDefault="00000000" w:rsidRPr="00000000" w14:paraId="0000002A">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5. Conclusión</w:t>
      </w: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Después de revisar los once temas, veo que ninguna técnica alcanza por sí sola. El Manifiesto Ágil aporta adaptación; el Espiral, enfoque en el riesgo; PMBOK 7, permiso para combinar; ISO 29148 y la EDT, precisión en el alcance; MoSCoW, priorización, con la advertencia de Achimugu et al. (2014); CPM y PERT, orden e incertidumbre; Buehler et al. (1994), humildad ante nuestro optimismo; y el control de cambios, Kanban y el roadmap, control del flujo y de la visión. La tesis se sostiene: en una capa de datos donde el modelo, las transacciones y las listas dependen unas de otras y fallan con concurrencia, el CPM debe ir antes que la agilidad en el backend. Mi límite es que las duraciones son estimaciones mías y no mediciones, así que hay que recalcularlas conforme avance el proyecto.</w:t>
      </w:r>
      <w:r w:rsidDel="00000000" w:rsidR="00000000" w:rsidRPr="00000000">
        <w:rPr>
          <w:rtl w:val="0"/>
        </w:rPr>
      </w:r>
    </w:p>
    <w:p w:rsidR="00000000" w:rsidDel="00000000" w:rsidP="00000000" w:rsidRDefault="00000000" w:rsidRPr="00000000" w14:paraId="0000002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Conteo de palabras:</w:t>
      </w:r>
      <w:r w:rsidDel="00000000" w:rsidR="00000000" w:rsidRPr="00000000">
        <w:rPr>
          <w:rFonts w:ascii="Times New Roman" w:cs="Times New Roman" w:eastAsia="Times New Roman" w:hAnsi="Times New Roman"/>
          <w:sz w:val="24"/>
          <w:szCs w:val="24"/>
          <w:rtl w:val="0"/>
        </w:rPr>
        <w:t xml:space="preserve"> aproximadamente 3,100 (cuerpo del ensayo, sin referencias ni anexos). Conviene verificarlo con el contador de tu procesador de texto antes de entregar.</w:t>
      </w:r>
      <w:r w:rsidDel="00000000" w:rsidR="00000000" w:rsidRPr="00000000">
        <w:rPr>
          <w:rtl w:val="0"/>
        </w:rPr>
      </w:r>
    </w:p>
    <w:p w:rsidR="00000000" w:rsidDel="00000000" w:rsidP="00000000" w:rsidRDefault="00000000" w:rsidRPr="00000000" w14:paraId="0000002D">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Referencias (APA 7)</w:t>
      </w:r>
      <w:r w:rsidDel="00000000" w:rsidR="00000000" w:rsidRPr="00000000">
        <w:rPr>
          <w:rtl w:val="0"/>
        </w:rPr>
      </w:r>
    </w:p>
    <w:p w:rsidR="00000000" w:rsidDel="00000000" w:rsidP="00000000" w:rsidRDefault="00000000" w:rsidRPr="00000000" w14:paraId="0000002E">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Achimugu, P., Selamat, A., Ibrahim, R., &amp; Mahrin, M. N. (2014). A systematic literature review of software requirements prioritization research. </w:t>
      </w:r>
      <w:r w:rsidDel="00000000" w:rsidR="00000000" w:rsidRPr="00000000">
        <w:rPr>
          <w:rFonts w:ascii="Times New Roman" w:cs="Times New Roman" w:eastAsia="Times New Roman" w:hAnsi="Times New Roman"/>
          <w:i w:val="1"/>
          <w:iCs w:val="1"/>
          <w:sz w:val="24"/>
          <w:szCs w:val="24"/>
          <w:rtl w:val="0"/>
        </w:rPr>
        <w:t xml:space="preserve">Information and Software Technology, 56</w:t>
      </w:r>
      <w:r w:rsidDel="00000000" w:rsidR="00000000" w:rsidRPr="00000000">
        <w:rPr>
          <w:rFonts w:ascii="Times New Roman" w:cs="Times New Roman" w:eastAsia="Times New Roman" w:hAnsi="Times New Roman"/>
          <w:sz w:val="24"/>
          <w:szCs w:val="24"/>
          <w:rtl w:val="0"/>
        </w:rPr>
        <w:t xml:space="preserve">(6), 568–585.</w:t>
      </w:r>
      <w:r w:rsidDel="00000000" w:rsidR="00000000" w:rsidRPr="00000000">
        <w:rPr>
          <w:rtl w:val="0"/>
        </w:rPr>
      </w:r>
    </w:p>
    <w:p w:rsidR="00000000" w:rsidDel="00000000" w:rsidP="00000000" w:rsidRDefault="00000000" w:rsidRPr="00000000" w14:paraId="0000002F">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Agile Business Consortium. (s. f.). </w:t>
      </w:r>
      <w:r w:rsidDel="00000000" w:rsidR="00000000" w:rsidRPr="00000000">
        <w:rPr>
          <w:rFonts w:ascii="Times New Roman" w:cs="Times New Roman" w:eastAsia="Times New Roman" w:hAnsi="Times New Roman"/>
          <w:i w:val="1"/>
          <w:iCs w:val="1"/>
          <w:sz w:val="24"/>
          <w:szCs w:val="24"/>
          <w:rtl w:val="0"/>
        </w:rPr>
        <w:t xml:space="preserve">MoSCoW prioritisation</w:t>
      </w:r>
      <w:r w:rsidDel="00000000" w:rsidR="00000000" w:rsidRPr="00000000">
        <w:rPr>
          <w:rFonts w:ascii="Times New Roman" w:cs="Times New Roman" w:eastAsia="Times New Roman" w:hAnsi="Times New Roman"/>
          <w:sz w:val="24"/>
          <w:szCs w:val="24"/>
          <w:rtl w:val="0"/>
        </w:rPr>
        <w:t xml:space="preserve"> [DSDM Agile Project Framework].</w:t>
      </w:r>
      <w:r w:rsidDel="00000000" w:rsidR="00000000" w:rsidRPr="00000000">
        <w:rPr>
          <w:rtl w:val="0"/>
        </w:rPr>
      </w:r>
    </w:p>
    <w:p w:rsidR="00000000" w:rsidDel="00000000" w:rsidP="00000000" w:rsidRDefault="00000000" w:rsidRPr="00000000" w14:paraId="00000030">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Beck, K., Beedle, M., van Bennekum, A., Cockburn, A., Cunningham, W., Fowler, M., et al.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 https://agilemanifesto.org</w:t>
      </w:r>
      <w:r w:rsidDel="00000000" w:rsidR="00000000" w:rsidRPr="00000000">
        <w:rPr>
          <w:rtl w:val="0"/>
        </w:rPr>
      </w:r>
    </w:p>
    <w:p w:rsidR="00000000" w:rsidDel="00000000" w:rsidP="00000000" w:rsidRDefault="00000000" w:rsidRPr="00000000" w14:paraId="00000031">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Boehm, B. W. (1988). A spiral model of software development and enhancement. </w:t>
      </w:r>
      <w:r w:rsidDel="00000000" w:rsidR="00000000" w:rsidRPr="00000000">
        <w:rPr>
          <w:rFonts w:ascii="Times New Roman" w:cs="Times New Roman" w:eastAsia="Times New Roman" w:hAnsi="Times New Roman"/>
          <w:i w:val="1"/>
          <w:iCs w:val="1"/>
          <w:sz w:val="24"/>
          <w:szCs w:val="24"/>
          <w:rtl w:val="0"/>
        </w:rPr>
        <w:t xml:space="preserve">Computer, 21</w:t>
      </w:r>
      <w:r w:rsidDel="00000000" w:rsidR="00000000" w:rsidRPr="00000000">
        <w:rPr>
          <w:rFonts w:ascii="Times New Roman" w:cs="Times New Roman" w:eastAsia="Times New Roman" w:hAnsi="Times New Roman"/>
          <w:sz w:val="24"/>
          <w:szCs w:val="24"/>
          <w:rtl w:val="0"/>
        </w:rPr>
        <w:t xml:space="preserve">(5), 61–72.</w:t>
      </w:r>
      <w:r w:rsidDel="00000000" w:rsidR="00000000" w:rsidRPr="00000000">
        <w:rPr>
          <w:rtl w:val="0"/>
        </w:rPr>
      </w:r>
    </w:p>
    <w:p w:rsidR="00000000" w:rsidDel="00000000" w:rsidP="00000000" w:rsidRDefault="00000000" w:rsidRPr="00000000" w14:paraId="00000032">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Buehler, R., Griffin, D., &amp; Ross, M. (1994). Exploring the «planning fallacy»: Why people underestimate their task completion times. </w:t>
      </w:r>
      <w:r w:rsidDel="00000000" w:rsidR="00000000" w:rsidRPr="00000000">
        <w:rPr>
          <w:rFonts w:ascii="Times New Roman" w:cs="Times New Roman" w:eastAsia="Times New Roman" w:hAnsi="Times New Roman"/>
          <w:i w:val="1"/>
          <w:iCs w:val="1"/>
          <w:sz w:val="24"/>
          <w:szCs w:val="24"/>
          <w:rtl w:val="0"/>
        </w:rPr>
        <w:t xml:space="preserve">Journal of Personality and Social Psychology, 67</w:t>
      </w:r>
      <w:r w:rsidDel="00000000" w:rsidR="00000000" w:rsidRPr="00000000">
        <w:rPr>
          <w:rFonts w:ascii="Times New Roman" w:cs="Times New Roman" w:eastAsia="Times New Roman" w:hAnsi="Times New Roman"/>
          <w:sz w:val="24"/>
          <w:szCs w:val="24"/>
          <w:rtl w:val="0"/>
        </w:rPr>
        <w:t xml:space="preserve">(3), 366–381.</w:t>
      </w:r>
      <w:r w:rsidDel="00000000" w:rsidR="00000000" w:rsidRPr="00000000">
        <w:rPr>
          <w:rtl w:val="0"/>
        </w:rPr>
      </w:r>
    </w:p>
    <w:p w:rsidR="00000000" w:rsidDel="00000000" w:rsidP="00000000" w:rsidRDefault="00000000" w:rsidRPr="00000000" w14:paraId="00000033">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(2020). </w:t>
      </w:r>
      <w:r w:rsidDel="00000000" w:rsidR="00000000" w:rsidRPr="00000000">
        <w:rPr>
          <w:rFonts w:ascii="Times New Roman" w:cs="Times New Roman" w:eastAsia="Times New Roman" w:hAnsi="Times New Roman"/>
          <w:i w:val="1"/>
          <w:iCs w:val="1"/>
          <w:sz w:val="24"/>
          <w:szCs w:val="24"/>
          <w:rtl w:val="0"/>
        </w:rPr>
        <w:t xml:space="preserve">ISO 21502: Project, programme and portfolio management — Guidance on project management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ISO/IEC/IEEE. (2018). </w:t>
      </w:r>
      <w:r w:rsidDel="00000000" w:rsidR="00000000" w:rsidRPr="00000000">
        <w:rPr>
          <w:rFonts w:ascii="Times New Roman" w:cs="Times New Roman" w:eastAsia="Times New Roman" w:hAnsi="Times New Roman"/>
          <w:i w:val="1"/>
          <w:iCs w:val="1"/>
          <w:sz w:val="24"/>
          <w:szCs w:val="24"/>
          <w:rtl w:val="0"/>
        </w:rPr>
        <w:t xml:space="preserve">ISO/IEC/IEEE 29148: Systems and software engineering — Life cycle processes — Requirements engineering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5">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Kelley, J. E., Jr. (1961). Critical-path planning and scheduling: Mathematical basis. </w:t>
      </w:r>
      <w:r w:rsidDel="00000000" w:rsidR="00000000" w:rsidRPr="00000000">
        <w:rPr>
          <w:rFonts w:ascii="Times New Roman" w:cs="Times New Roman" w:eastAsia="Times New Roman" w:hAnsi="Times New Roman"/>
          <w:i w:val="1"/>
          <w:iCs w:val="1"/>
          <w:sz w:val="24"/>
          <w:szCs w:val="24"/>
          <w:rtl w:val="0"/>
        </w:rPr>
        <w:t xml:space="preserve">Operations Research, 9</w:t>
      </w:r>
      <w:r w:rsidDel="00000000" w:rsidR="00000000" w:rsidRPr="00000000">
        <w:rPr>
          <w:rFonts w:ascii="Times New Roman" w:cs="Times New Roman" w:eastAsia="Times New Roman" w:hAnsi="Times New Roman"/>
          <w:sz w:val="24"/>
          <w:szCs w:val="24"/>
          <w:rtl w:val="0"/>
        </w:rPr>
        <w:t xml:space="preserve">(3), 296–320.</w:t>
      </w:r>
      <w:r w:rsidDel="00000000" w:rsidR="00000000" w:rsidRPr="00000000">
        <w:rPr>
          <w:rtl w:val="0"/>
        </w:rPr>
      </w:r>
    </w:p>
    <w:p w:rsidR="00000000" w:rsidDel="00000000" w:rsidP="00000000" w:rsidRDefault="00000000" w:rsidRPr="00000000" w14:paraId="00000036">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MacCrimmon, K. R., &amp; Ryavec, C. A. (1964). An analytical study of the PERT assumptions. </w:t>
      </w:r>
      <w:r w:rsidDel="00000000" w:rsidR="00000000" w:rsidRPr="00000000">
        <w:rPr>
          <w:rFonts w:ascii="Times New Roman" w:cs="Times New Roman" w:eastAsia="Times New Roman" w:hAnsi="Times New Roman"/>
          <w:i w:val="1"/>
          <w:iCs w:val="1"/>
          <w:sz w:val="24"/>
          <w:szCs w:val="24"/>
          <w:rtl w:val="0"/>
        </w:rPr>
        <w:t xml:space="preserve">Operations Research, 12</w:t>
      </w:r>
      <w:r w:rsidDel="00000000" w:rsidR="00000000" w:rsidRPr="00000000">
        <w:rPr>
          <w:rFonts w:ascii="Times New Roman" w:cs="Times New Roman" w:eastAsia="Times New Roman" w:hAnsi="Times New Roman"/>
          <w:sz w:val="24"/>
          <w:szCs w:val="24"/>
          <w:rtl w:val="0"/>
        </w:rPr>
        <w:t xml:space="preserve">(1), 16–37.</w:t>
      </w:r>
      <w:r w:rsidDel="00000000" w:rsidR="00000000" w:rsidRPr="00000000">
        <w:rPr>
          <w:rtl w:val="0"/>
        </w:rPr>
      </w:r>
    </w:p>
    <w:p w:rsidR="00000000" w:rsidDel="00000000" w:rsidP="00000000" w:rsidRDefault="00000000" w:rsidRPr="00000000" w14:paraId="00000037">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Malcolm, D. G., Roseboom, J. H., Clark, C. E., &amp; Fazar, W. (1959). Application of a technique for research and development program evaluation. </w:t>
      </w:r>
      <w:r w:rsidDel="00000000" w:rsidR="00000000" w:rsidRPr="00000000">
        <w:rPr>
          <w:rFonts w:ascii="Times New Roman" w:cs="Times New Roman" w:eastAsia="Times New Roman" w:hAnsi="Times New Roman"/>
          <w:i w:val="1"/>
          <w:iCs w:val="1"/>
          <w:sz w:val="24"/>
          <w:szCs w:val="24"/>
          <w:rtl w:val="0"/>
        </w:rPr>
        <w:t xml:space="preserve">Operations Research, 7</w:t>
      </w:r>
      <w:r w:rsidDel="00000000" w:rsidR="00000000" w:rsidRPr="00000000">
        <w:rPr>
          <w:rFonts w:ascii="Times New Roman" w:cs="Times New Roman" w:eastAsia="Times New Roman" w:hAnsi="Times New Roman"/>
          <w:sz w:val="24"/>
          <w:szCs w:val="24"/>
          <w:rtl w:val="0"/>
        </w:rPr>
        <w:t xml:space="preserve">(5), 646–669.</w:t>
      </w:r>
      <w:r w:rsidDel="00000000" w:rsidR="00000000" w:rsidRPr="00000000">
        <w:rPr>
          <w:rtl w:val="0"/>
        </w:rPr>
      </w:r>
    </w:p>
    <w:p w:rsidR="00000000" w:rsidDel="00000000" w:rsidP="00000000" w:rsidRDefault="00000000" w:rsidRPr="00000000" w14:paraId="00000038">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Ohno, T. (1988). </w:t>
      </w:r>
      <w:r w:rsidDel="00000000" w:rsidR="00000000" w:rsidRPr="00000000">
        <w:rPr>
          <w:rFonts w:ascii="Times New Roman" w:cs="Times New Roman" w:eastAsia="Times New Roman" w:hAnsi="Times New Roman"/>
          <w:i w:val="1"/>
          <w:iCs w:val="1"/>
          <w:sz w:val="24"/>
          <w:szCs w:val="24"/>
          <w:rtl w:val="0"/>
        </w:rPr>
        <w:t xml:space="preserve">Toyota production system: Beyond large-scale production</w:t>
      </w:r>
      <w:r w:rsidDel="00000000" w:rsidR="00000000" w:rsidRPr="00000000">
        <w:rPr>
          <w:rFonts w:ascii="Times New Roman" w:cs="Times New Roman" w:eastAsia="Times New Roman" w:hAnsi="Times New Roman"/>
          <w:sz w:val="24"/>
          <w:szCs w:val="24"/>
          <w:rtl w:val="0"/>
        </w:rPr>
        <w:t xml:space="preserve">. Productivity Press.</w:t>
      </w:r>
      <w:r w:rsidDel="00000000" w:rsidR="00000000" w:rsidRPr="00000000">
        <w:rPr>
          <w:rtl w:val="0"/>
        </w:rPr>
      </w:r>
    </w:p>
    <w:p w:rsidR="00000000" w:rsidDel="00000000" w:rsidP="00000000" w:rsidRDefault="00000000" w:rsidRPr="00000000" w14:paraId="00000039">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Phaal, R., Farrukh, C. J. P., &amp; Probert, D. R. (2004). Technology roadmapping: A planning framework for evolution and revolution.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 71</w:t>
      </w:r>
      <w:r w:rsidDel="00000000" w:rsidR="00000000" w:rsidRPr="00000000">
        <w:rPr>
          <w:rFonts w:ascii="Times New Roman" w:cs="Times New Roman" w:eastAsia="Times New Roman" w:hAnsi="Times New Roman"/>
          <w:sz w:val="24"/>
          <w:szCs w:val="24"/>
          <w:rtl w:val="0"/>
        </w:rPr>
        <w:t xml:space="preserve">(1–2), 5–26.</w:t>
      </w:r>
      <w:r w:rsidDel="00000000" w:rsidR="00000000" w:rsidRPr="00000000">
        <w:rPr>
          <w:rtl w:val="0"/>
        </w:rPr>
      </w:r>
    </w:p>
    <w:p w:rsidR="00000000" w:rsidDel="00000000" w:rsidP="00000000" w:rsidRDefault="00000000" w:rsidRPr="00000000" w14:paraId="0000003A">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Project Management Institute. (2019). </w:t>
      </w:r>
      <w:r w:rsidDel="00000000" w:rsidR="00000000" w:rsidRPr="00000000">
        <w:rPr>
          <w:rFonts w:ascii="Times New Roman" w:cs="Times New Roman" w:eastAsia="Times New Roman" w:hAnsi="Times New Roman"/>
          <w:i w:val="1"/>
          <w:iCs w:val="1"/>
          <w:sz w:val="24"/>
          <w:szCs w:val="24"/>
          <w:rtl w:val="0"/>
        </w:rPr>
        <w:t xml:space="preserve">Practice standard for work breakdown structures</w:t>
      </w:r>
      <w:r w:rsidDel="00000000" w:rsidR="00000000" w:rsidRPr="00000000">
        <w:rPr>
          <w:rFonts w:ascii="Times New Roman" w:cs="Times New Roman" w:eastAsia="Times New Roman" w:hAnsi="Times New Roman"/>
          <w:sz w:val="24"/>
          <w:szCs w:val="24"/>
          <w:rtl w:val="0"/>
        </w:rPr>
        <w:t xml:space="preserve"> (3.ª ed.).</w:t>
      </w:r>
      <w:r w:rsidDel="00000000" w:rsidR="00000000" w:rsidRPr="00000000">
        <w:rPr>
          <w:rtl w:val="0"/>
        </w:rPr>
      </w:r>
    </w:p>
    <w:p w:rsidR="00000000" w:rsidDel="00000000" w:rsidP="00000000" w:rsidRDefault="00000000" w:rsidRPr="00000000" w14:paraId="0000003B">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Project Management Institute. (2021). </w:t>
      </w:r>
      <w:r w:rsidDel="00000000" w:rsidR="00000000" w:rsidRPr="00000000">
        <w:rPr>
          <w:rFonts w:ascii="Times New Roman" w:cs="Times New Roman" w:eastAsia="Times New Roman" w:hAnsi="Times New Roman"/>
          <w:i w:val="1"/>
          <w:iCs w:val="1"/>
          <w:sz w:val="24"/>
          <w:szCs w:val="24"/>
          <w:rtl w:val="0"/>
        </w:rPr>
        <w:t xml:space="preserve">A guide to the project management body of knowledge (PMBOK® guide)</w:t>
      </w:r>
      <w:r w:rsidDel="00000000" w:rsidR="00000000" w:rsidRPr="00000000">
        <w:rPr>
          <w:rFonts w:ascii="Times New Roman" w:cs="Times New Roman" w:eastAsia="Times New Roman" w:hAnsi="Times New Roman"/>
          <w:sz w:val="24"/>
          <w:szCs w:val="24"/>
          <w:rtl w:val="0"/>
        </w:rPr>
        <w:t xml:space="preserve"> (7.ª ed.).</w:t>
      </w:r>
      <w:r w:rsidDel="00000000" w:rsidR="00000000" w:rsidRPr="00000000">
        <w:rPr>
          <w:rtl w:val="0"/>
        </w:rPr>
      </w:r>
    </w:p>
    <w:p w:rsidR="00000000" w:rsidDel="00000000" w:rsidP="00000000" w:rsidRDefault="00000000" w:rsidRPr="00000000" w14:paraId="0000003C">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Vacanti, D., &amp; Coleman, J. (2020). </w:t>
      </w:r>
      <w:r w:rsidDel="00000000" w:rsidR="00000000" w:rsidRPr="00000000">
        <w:rPr>
          <w:rFonts w:ascii="Times New Roman" w:cs="Times New Roman" w:eastAsia="Times New Roman" w:hAnsi="Times New Roman"/>
          <w:i w:val="1"/>
          <w:iCs w:val="1"/>
          <w:sz w:val="24"/>
          <w:szCs w:val="24"/>
          <w:rtl w:val="0"/>
        </w:rPr>
        <w:t xml:space="preserve">The Kanban guide</w:t>
      </w:r>
      <w:r w:rsidDel="00000000" w:rsidR="00000000" w:rsidRPr="00000000">
        <w:rPr>
          <w:rFonts w:ascii="Times New Roman" w:cs="Times New Roman" w:eastAsia="Times New Roman" w:hAnsi="Times New Roman"/>
          <w:sz w:val="24"/>
          <w:szCs w:val="24"/>
          <w:rtl w:val="0"/>
        </w:rPr>
        <w:t xml:space="preserve">. Scrum.org y Kanban University.</w:t>
      </w:r>
      <w:r w:rsidDel="00000000" w:rsidR="00000000" w:rsidRPr="00000000">
        <w:rPr>
          <w:rtl w:val="0"/>
        </w:rPr>
      </w:r>
    </w:p>
    <w:p w:rsidR="00000000" w:rsidDel="00000000" w:rsidP="00000000" w:rsidRDefault="00000000" w:rsidRPr="00000000" w14:paraId="0000003D">
      <w:pPr>
        <w:spacing w:after="120" w:line="276" w:lineRule="auto"/>
        <w:ind w:left="720" w:hanging="720"/>
        <w:rPr/>
      </w:pPr>
      <w:r w:rsidDel="00000000" w:rsidR="00000000" w:rsidRPr="00000000">
        <w:rPr>
          <w:rFonts w:ascii="Times New Roman" w:cs="Times New Roman" w:eastAsia="Times New Roman" w:hAnsi="Times New Roman"/>
          <w:sz w:val="24"/>
          <w:szCs w:val="24"/>
          <w:rtl w:val="0"/>
        </w:rPr>
        <w:t xml:space="preserve">Wilson, J. M. (2003). Gantt charts: A centenary appreciation. </w:t>
      </w:r>
      <w:r w:rsidDel="00000000" w:rsidR="00000000" w:rsidRPr="00000000">
        <w:rPr>
          <w:rFonts w:ascii="Times New Roman" w:cs="Times New Roman" w:eastAsia="Times New Roman" w:hAnsi="Times New Roman"/>
          <w:i w:val="1"/>
          <w:iCs w:val="1"/>
          <w:sz w:val="24"/>
          <w:szCs w:val="24"/>
          <w:rtl w:val="0"/>
        </w:rPr>
        <w:t xml:space="preserve">European Journal of Operational Research, 149</w:t>
      </w:r>
      <w:r w:rsidDel="00000000" w:rsidR="00000000" w:rsidRPr="00000000">
        <w:rPr>
          <w:rFonts w:ascii="Times New Roman" w:cs="Times New Roman" w:eastAsia="Times New Roman" w:hAnsi="Times New Roman"/>
          <w:sz w:val="24"/>
          <w:szCs w:val="24"/>
          <w:rtl w:val="0"/>
        </w:rPr>
        <w:t xml:space="preserve">(2), 430–437.</w:t>
      </w:r>
      <w:r w:rsidDel="00000000" w:rsidR="00000000" w:rsidRPr="00000000">
        <w:rPr>
          <w:rtl w:val="0"/>
        </w:rPr>
      </w:r>
    </w:p>
    <w:p w:rsidR="00000000" w:rsidDel="00000000" w:rsidP="00000000" w:rsidRDefault="00000000" w:rsidRPr="00000000" w14:paraId="0000003E">
      <w:pPr>
        <w:pageBreakBefore w:val="1"/>
        <w:rPr/>
      </w:pPr>
      <w:r w:rsidDel="00000000" w:rsidR="00000000" w:rsidRPr="00000000">
        <w:rPr>
          <w:rtl w:val="0"/>
        </w:rPr>
      </w:r>
    </w:p>
    <w:p w:rsidR="00000000" w:rsidDel="00000000" w:rsidP="00000000" w:rsidRDefault="00000000" w:rsidRPr="00000000" w14:paraId="0000003F">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Anexo A. EDT del backend (extracto de trabajo)</w:t>
      </w:r>
      <w:r w:rsidDel="00000000" w:rsidR="00000000" w:rsidRPr="00000000">
        <w:rPr>
          <w:rtl w:val="0"/>
        </w:rPr>
      </w:r>
    </w:p>
    <w:p w:rsidR="00000000" w:rsidDel="00000000" w:rsidP="00000000" w:rsidRDefault="00000000" w:rsidRPr="00000000" w14:paraId="0000004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Nota: los códigos 1.2.3, 1.3.1 y 1.3.2 son los de mi asignación; los demás son supuestos de trabajo que debes alinear con la EDT oficial del equipo.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000"/>
        <w:gridCol w:w="4260"/>
        <w:tblGridChange w:id="0">
          <w:tblGrid>
            <w:gridCol w:w="1100"/>
            <w:gridCol w:w="4000"/>
            <w:gridCol w:w="42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0"/>
                <w:szCs w:val="20"/>
                <w:rtl w:val="0"/>
              </w:rPr>
              <w:t xml:space="preserve">Paquete de trabajo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sz w:val="20"/>
                <w:szCs w:val="20"/>
                <w:rtl w:val="0"/>
              </w:rPr>
              <w:t xml:space="preserve">Entregable verificable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0"/>
                <w:szCs w:val="20"/>
                <w:rtl w:val="0"/>
              </w:rPr>
              <w:t xml:space="preserve">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0"/>
                <w:szCs w:val="20"/>
                <w:rtl w:val="0"/>
              </w:rPr>
              <w:t xml:space="preserve">Modelo de datos de las 4 listas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0"/>
                <w:szCs w:val="20"/>
                <w:rtl w:val="0"/>
              </w:rPr>
              <w:t xml:space="preserve">Diagrama entidad-relación aprobado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0"/>
                <w:szCs w:val="20"/>
                <w:rtl w:val="0"/>
              </w:rPr>
              <w:t xml:space="preserve">1.2.3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0"/>
                <w:szCs w:val="20"/>
                <w:rtl w:val="0"/>
              </w:rPr>
              <w:t xml:space="preserve">Instancia y esquema base de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0"/>
                <w:szCs w:val="20"/>
                <w:rtl w:val="0"/>
              </w:rPr>
              <w:t xml:space="preserve">Base creada desde cero con scripts de migración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0"/>
                <w:szCs w:val="20"/>
                <w:rtl w:val="0"/>
              </w:rPr>
              <w:t xml:space="preserve">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0"/>
                <w:szCs w:val="20"/>
                <w:rtl w:val="0"/>
              </w:rPr>
              <w:t xml:space="preserve">ORM y SQL transaccional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20"/>
                <w:szCs w:val="20"/>
                <w:rtl w:val="0"/>
              </w:rPr>
              <w:t xml:space="preserve">Pruebas de concurrencia sin doble asignación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0"/>
                <w:szCs w:val="20"/>
                <w:rtl w:val="0"/>
              </w:rPr>
              <w:t xml:space="preserve">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0"/>
                <w:szCs w:val="20"/>
                <w:rtl w:val="0"/>
              </w:rPr>
              <w:t xml:space="preserve">Registro simple de las 4 listas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20"/>
                <w:szCs w:val="20"/>
                <w:rtl w:val="0"/>
              </w:rPr>
              <w:t xml:space="preserve">Alta, consulta, edición y baja con pruebas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0"/>
                <w:szCs w:val="20"/>
                <w:rtl w:val="0"/>
              </w:rPr>
              <w:t xml:space="preserve">1.4.1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20"/>
                <w:szCs w:val="20"/>
                <w:rtl w:val="0"/>
              </w:rPr>
              <w:t xml:space="preserve">Pruebas de consistencia y aceptación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0"/>
                <w:szCs w:val="20"/>
                <w:rtl w:val="0"/>
              </w:rPr>
              <w:t xml:space="preserve">Informe de resultados</w:t>
            </w:r>
            <w:r w:rsidDel="00000000" w:rsidR="00000000" w:rsidRPr="00000000">
              <w:rPr>
                <w:rtl w:val="0"/>
              </w:rPr>
            </w:r>
          </w:p>
        </w:tc>
      </w:tr>
    </w:tbl>
    <w:p w:rsidR="00000000" w:rsidDel="00000000" w:rsidP="00000000" w:rsidRDefault="00000000" w:rsidRPr="00000000" w14:paraId="00000053">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Anexo B. Red de actividades y ruta crítica (CPM)</w:t>
      </w:r>
      <w:r w:rsidDel="00000000" w:rsidR="00000000" w:rsidRPr="00000000">
        <w:rPr>
          <w:rtl w:val="0"/>
        </w:rPr>
      </w:r>
    </w:p>
    <w:p w:rsidR="00000000" w:rsidDel="00000000" w:rsidP="00000000" w:rsidRDefault="00000000" w:rsidRPr="00000000" w14:paraId="0000005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Duraciones en días hábiles de 4 horas de trabajo (4 h por día, de lunes a viernes). El cálculo parte del 19 de octubre de 2026 y la entrega es el 15 de diciembre de 2026. El plan cubre únicamente trabajo en PostgreSQL. Son estimaciones iniciales mías. Como hay un solo desarrollador en backend, las actividades se programan en secuencia. Las cuatro listas de la base de datos llevan cada una un registro simple (alta, consulta, edición y baja); sus nombres son supuestos de trabajo que debes ajustar.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800"/>
        <w:gridCol w:w="1000"/>
        <w:gridCol w:w="1100"/>
        <w:gridCol w:w="1000"/>
        <w:gridCol w:w="1000"/>
        <w:gridCol w:w="1160"/>
        <w:tblGridChange w:id="0">
          <w:tblGrid>
            <w:gridCol w:w="600"/>
            <w:gridCol w:w="2700"/>
            <w:gridCol w:w="800"/>
            <w:gridCol w:w="1000"/>
            <w:gridCol w:w="1100"/>
            <w:gridCol w:w="1000"/>
            <w:gridCol w:w="1000"/>
            <w:gridCol w:w="11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0"/>
                <w:szCs w:val="20"/>
                <w:rtl w:val="0"/>
              </w:rPr>
              <w:t xml:space="preserve">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sz w:val="20"/>
                <w:szCs w:val="20"/>
                <w:rtl w:val="0"/>
              </w:rPr>
              <w:t xml:space="preserve">Descripción (EDT)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sz w:val="20"/>
                <w:szCs w:val="20"/>
                <w:rtl w:val="0"/>
              </w:rPr>
              <w:t xml:space="preserve">Horas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sz w:val="20"/>
                <w:szCs w:val="20"/>
                <w:rtl w:val="0"/>
              </w:rPr>
              <w:t xml:space="preserve">Dur. (días a 4 h/día)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sz w:val="20"/>
                <w:szCs w:val="20"/>
                <w:rtl w:val="0"/>
              </w:rPr>
              <w:t xml:space="preserve">Predecesoras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sz w:val="20"/>
                <w:szCs w:val="20"/>
                <w:rtl w:val="0"/>
              </w:rPr>
              <w:t xml:space="preserve">Inicio temprano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sz w:val="20"/>
                <w:szCs w:val="20"/>
                <w:rtl w:val="0"/>
              </w:rPr>
              <w:t xml:space="preserve">Fin temprano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sz w:val="20"/>
                <w:szCs w:val="20"/>
                <w:rtl w:val="0"/>
              </w:rPr>
              <w:t xml:space="preserve">Holgura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0"/>
                <w:szCs w:val="20"/>
                <w:rtl w:val="0"/>
              </w:rPr>
              <w:t xml:space="preserve">Modelo de datos y diseño de las 4 listas (1.2.1)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20"/>
                <w:szCs w:val="20"/>
                <w:rtl w:val="0"/>
              </w:rPr>
              <w:t xml:space="preserve">Instancia y esquema base de PostgreSQL (1.2.3)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0"/>
                <w:szCs w:val="20"/>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20"/>
                <w:szCs w:val="20"/>
                <w:rtl w:val="0"/>
              </w:rPr>
              <w:t xml:space="preserve">ORM y SQL transaccional (1.3.1)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sz w:val="20"/>
                <w:szCs w:val="20"/>
                <w:rtl w:val="0"/>
              </w:rPr>
              <w:t xml:space="preserve">Lista 1 (Cajones): registro simple (1.3.2)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sz w:val="20"/>
                <w:szCs w:val="20"/>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sz w:val="20"/>
                <w:szCs w:val="20"/>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sz w:val="20"/>
                <w:szCs w:val="20"/>
                <w:rtl w:val="0"/>
              </w:rPr>
              <w:t xml:space="preserve">Lista 2 (Andenes): registro simple (1.3.2)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sz w:val="20"/>
                <w:szCs w:val="20"/>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sz w:val="20"/>
                <w:szCs w:val="20"/>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sz w:val="20"/>
                <w:szCs w:val="20"/>
                <w:rtl w:val="0"/>
              </w:rPr>
              <w:t xml:space="preserve">Lista 3 (Camiones): registro simple (1.3.2)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sz w:val="20"/>
                <w:szCs w:val="20"/>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sz w:val="20"/>
                <w:szCs w:val="20"/>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sz w:val="20"/>
                <w:szCs w:val="20"/>
                <w:rtl w:val="0"/>
              </w:rPr>
              <w:t xml:space="preserve">Lista 4 (Operadores): registro simple (1.3.2)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20"/>
                <w:szCs w:val="20"/>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sz w:val="20"/>
                <w:szCs w:val="20"/>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20"/>
                <w:szCs w:val="20"/>
                <w:rtl w:val="0"/>
              </w:rPr>
              <w:t xml:space="preserve">Pruebas de consistencia y concurrencia en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20"/>
                <w:szCs w:val="20"/>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20"/>
                <w:szCs w:val="20"/>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0"/>
                <w:bCs w:val="0"/>
                <w:sz w:val="20"/>
                <w:szCs w:val="20"/>
                <w:rtl w:val="0"/>
              </w:rPr>
              <w:t xml:space="preserve">Aceptación (1.4.1)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sz w:val="20"/>
                <w:szCs w:val="20"/>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0"/>
                <w:bCs w:val="0"/>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Ruta crítica:</w:t>
      </w:r>
      <w:r w:rsidDel="00000000" w:rsidR="00000000" w:rsidRPr="00000000">
        <w:rPr>
          <w:rFonts w:ascii="Cardo" w:cs="Cardo" w:eastAsia="Cardo" w:hAnsi="Cardo"/>
          <w:sz w:val="24"/>
          <w:szCs w:val="24"/>
          <w:rtl w:val="0"/>
        </w:rPr>
        <w:t xml:space="preserve"> A → B → C → D → E → F → G → H → I, con duración total de 24 días hábiles (96 horas a 4 h por día). Todas las actividades son críticas, sin holgura. Si se empieza el 19 de octubre y se descuenta el feriado del 16 de noviembre, el trabajo termina alrededor del 20 de noviembre, con unos 17 días hábiles de colchón antes de la entrega del 15 de diciembre.</w:t>
      </w:r>
      <w:r w:rsidDel="00000000" w:rsidR="00000000" w:rsidRPr="00000000">
        <w:rPr>
          <w:rtl w:val="0"/>
        </w:rPr>
      </w:r>
    </w:p>
    <w:p w:rsidR="00000000" w:rsidDel="00000000" w:rsidP="00000000" w:rsidRDefault="00000000" w:rsidRPr="00000000" w14:paraId="000000A7">
      <w:pPr>
        <w:spacing w:after="120" w:line="360" w:lineRule="auto"/>
        <w:jc w:val="both"/>
        <w:rPr/>
      </w:pPr>
      <w:r w:rsidDel="00000000" w:rsidR="00000000" w:rsidRPr="00000000">
        <w:rPr>
          <w:rFonts w:ascii="Gungsuh" w:cs="Gungsuh" w:eastAsia="Gungsuh" w:hAnsi="Gungsuh"/>
          <w:sz w:val="24"/>
          <w:szCs w:val="24"/>
          <w:rtl w:val="0"/>
        </w:rPr>
        <w:t xml:space="preserve">Estimación PERT de C (ORM y SQL transaccional): optimista 4 días, probable 5, pesimista 8; esperada = (4 + 4·5 + 8) / 6 ≈ 5.3 días, unas 21 horas.</w:t>
      </w:r>
      <w:r w:rsidDel="00000000" w:rsidR="00000000" w:rsidRPr="00000000">
        <w:rPr>
          <w:rtl w:val="0"/>
        </w:rPr>
      </w:r>
    </w:p>
    <w:p w:rsidR="00000000" w:rsidDel="00000000" w:rsidP="00000000" w:rsidRDefault="00000000" w:rsidRPr="00000000" w14:paraId="000000A8">
      <w:pPr>
        <w:pStyle w:val="Heading2"/>
        <w:keepNext w:val="1"/>
        <w:spacing w:after="160" w:before="360" w:lineRule="auto"/>
        <w:rPr/>
      </w:pPr>
      <w:r w:rsidDel="00000000" w:rsidR="00000000" w:rsidRPr="00000000">
        <w:rPr>
          <w:rFonts w:ascii="Times New Roman" w:cs="Times New Roman" w:eastAsia="Times New Roman" w:hAnsi="Times New Roman"/>
          <w:b w:val="1"/>
          <w:bCs w:val="1"/>
          <w:sz w:val="28"/>
          <w:szCs w:val="28"/>
          <w:rtl w:val="0"/>
        </w:rPr>
        <w:t xml:space="preserve">Anexo C. Registro de riesgos de concurrencia y consistencia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1100"/>
        <w:gridCol w:w="900"/>
        <w:gridCol w:w="3000"/>
        <w:gridCol w:w="1160"/>
        <w:tblGridChange w:id="0">
          <w:tblGrid>
            <w:gridCol w:w="600"/>
            <w:gridCol w:w="2600"/>
            <w:gridCol w:w="1100"/>
            <w:gridCol w:w="900"/>
            <w:gridCol w:w="3000"/>
            <w:gridCol w:w="11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sz w:val="20"/>
                <w:szCs w:val="20"/>
                <w:rtl w:val="0"/>
              </w:rPr>
              <w:t xml:space="preserve">Riesgo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1"/>
                <w:bCs w:val="1"/>
                <w:sz w:val="20"/>
                <w:szCs w:val="20"/>
                <w:rtl w:val="0"/>
              </w:rPr>
              <w:t xml:space="preserve">Probabilidad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sz w:val="20"/>
                <w:szCs w:val="20"/>
                <w:rtl w:val="0"/>
              </w:rPr>
              <w:t xml:space="preserve">Mitigación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80.0" w:type="dxa"/>
              <w:bottom w:w="60.0" w:type="dxa"/>
              <w:right w:w="8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sz w:val="20"/>
                <w:szCs w:val="20"/>
                <w:rtl w:val="0"/>
              </w:rPr>
              <w:t xml:space="preserve">Paquete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0"/>
                <w:szCs w:val="20"/>
                <w:rtl w:val="0"/>
              </w:rPr>
              <w:t xml:space="preserve">R1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0"/>
                <w:szCs w:val="20"/>
                <w:rtl w:val="0"/>
              </w:rPr>
              <w:t xml:space="preserve">Doble asignación de un cajón por solicitudes simultáneas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0"/>
                <w:szCs w:val="20"/>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0"/>
                <w:szCs w:val="20"/>
                <w:rtl w:val="0"/>
              </w:rPr>
              <w:t xml:space="preserve">Alto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0"/>
                <w:szCs w:val="20"/>
                <w:rtl w:val="0"/>
              </w:rPr>
              <w:t xml:space="preserve">Bloqueo de fila y control optimista por versión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20"/>
                <w:szCs w:val="20"/>
                <w:rtl w:val="0"/>
              </w:rPr>
              <w:t xml:space="preserve">1.3.1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20"/>
                <w:szCs w:val="20"/>
                <w:rtl w:val="0"/>
              </w:rPr>
              <w:t xml:space="preserve">R2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sz w:val="20"/>
                <w:szCs w:val="20"/>
                <w:rtl w:val="0"/>
              </w:rPr>
              <w:t xml:space="preserve">Interbloqueo entre transacciones que actualizan cajón y andén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sz w:val="20"/>
                <w:szCs w:val="20"/>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20"/>
                <w:szCs w:val="20"/>
                <w:rtl w:val="0"/>
              </w:rPr>
              <w:t xml:space="preserve">Alto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20"/>
                <w:szCs w:val="20"/>
                <w:rtl w:val="0"/>
              </w:rPr>
              <w:t xml:space="preserve">Orden fijo de adquisición de bloqueos; tiempos límite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20"/>
                <w:szCs w:val="20"/>
                <w:rtl w:val="0"/>
              </w:rPr>
              <w:t xml:space="preserve">1.3.1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20"/>
                <w:szCs w:val="20"/>
                <w:rtl w:val="0"/>
              </w:rPr>
              <w:t xml:space="preserve">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20"/>
                <w:szCs w:val="20"/>
                <w:rtl w:val="0"/>
              </w:rPr>
              <w:t xml:space="preserve">Migración de esquema que rompe datos existentes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20"/>
                <w:szCs w:val="20"/>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20"/>
                <w:szCs w:val="20"/>
                <w:rtl w:val="0"/>
              </w:rPr>
              <w:t xml:space="preserve">Alto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20"/>
                <w:szCs w:val="20"/>
                <w:rtl w:val="0"/>
              </w:rPr>
              <w:t xml:space="preserve">Scripts de migración versionados; respaldo antes de migrar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20"/>
                <w:szCs w:val="20"/>
                <w:rtl w:val="0"/>
              </w:rPr>
              <w:t xml:space="preserve">1.2.3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20"/>
                <w:szCs w:val="20"/>
                <w:rtl w:val="0"/>
              </w:rPr>
              <w:t xml:space="preserve">R4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20"/>
                <w:szCs w:val="20"/>
                <w:rtl w:val="0"/>
              </w:rPr>
              <w:t xml:space="preserve">Consultas lentas por falta de índices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20"/>
                <w:szCs w:val="20"/>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20"/>
                <w:szCs w:val="20"/>
                <w:rtl w:val="0"/>
              </w:rPr>
              <w:t xml:space="preserve">Medio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20"/>
                <w:szCs w:val="20"/>
                <w:rtl w:val="0"/>
              </w:rPr>
              <w:t xml:space="preserve">Índices en las columnas de búsqueda; revisar con EXPLAIN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20"/>
                <w:szCs w:val="20"/>
                <w:rtl w:val="0"/>
              </w:rPr>
              <w:t xml:space="preserve">1.3.2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sz w:val="20"/>
                <w:szCs w:val="20"/>
                <w:rtl w:val="0"/>
              </w:rPr>
              <w:t xml:space="preserve">R5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20"/>
                <w:szCs w:val="20"/>
                <w:rtl w:val="0"/>
              </w:rPr>
              <w:t xml:space="preserve">Datos inválidos por restricciones faltantes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sz w:val="20"/>
                <w:szCs w:val="20"/>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20"/>
                <w:szCs w:val="20"/>
                <w:rtl w:val="0"/>
              </w:rPr>
              <w:t xml:space="preserve">Medio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sz w:val="20"/>
                <w:szCs w:val="20"/>
                <w:rtl w:val="0"/>
              </w:rPr>
              <w:t xml:space="preserve">Llaves foráneas, NOT NULL y CHECK en el esquema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20"/>
                <w:szCs w:val="20"/>
                <w:rtl w:val="0"/>
              </w:rPr>
              <w:t xml:space="preserve">1.2.1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0"/>
                <w:bCs w:val="0"/>
                <w:sz w:val="20"/>
                <w:szCs w:val="20"/>
                <w:rtl w:val="0"/>
              </w:rPr>
              <w:t xml:space="preserve">R6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0"/>
                <w:bCs w:val="0"/>
                <w:sz w:val="20"/>
                <w:szCs w:val="20"/>
                <w:rtl w:val="0"/>
              </w:rPr>
              <w:t xml:space="preserve">Subestimación de tareas (falacia de planificación)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sz w:val="20"/>
                <w:szCs w:val="20"/>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20"/>
                <w:szCs w:val="20"/>
                <w:rtl w:val="0"/>
              </w:rPr>
              <w:t xml:space="preserve">Medio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20"/>
                <w:szCs w:val="20"/>
                <w:rtl w:val="0"/>
              </w:rPr>
              <w:t xml:space="preserve">Rangos PERT y colchón al final de la cadena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20"/>
                <w:szCs w:val="20"/>
                <w:rtl w:val="0"/>
              </w:rPr>
              <w:t xml:space="preserve">Todos</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