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Rigor en los cimientos, flexibilidad en la superficie: planificación híbrida y arquitectura de datos para la Consola Web de Patio de un CEDIS de Mercado Envíos Extra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415" w:right="3422" w:firstLine="5"/>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González Aguilar Víctor Hugo Equipo 06 · Proyecto Integrador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 03-A: Los fundamentos de la planificación de proyectos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210312</wp:posOffset>
                </wp:positionH>
                <wp:positionV relativeFrom="paragraph">
                  <wp:posOffset>271727</wp:posOffset>
                </wp:positionV>
                <wp:extent cx="5980430" cy="12700"/>
                <wp:effectExtent b="0" l="0" r="0" t="0"/>
                <wp:wrapTopAndBottom distB="0" distT="0"/>
                <wp:docPr id="5" name=""/>
                <a:graphic>
                  <a:graphicData uri="http://schemas.microsoft.com/office/word/2010/wordprocessingShape">
                    <wps:wsp>
                      <wps:cNvSpPr/>
                      <wps:cNvPr id="6" name="Shape 6"/>
                      <wps:spPr>
                        <a:xfrm>
                          <a:off x="2355785" y="3775238"/>
                          <a:ext cx="5980430" cy="9525"/>
                        </a:xfrm>
                        <a:custGeom>
                          <a:rect b="b" l="l" r="r" t="t"/>
                          <a:pathLst>
                            <a:path extrusionOk="0" h="9525" w="5980430">
                              <a:moveTo>
                                <a:pt x="5980175" y="9143"/>
                              </a:moveTo>
                              <a:lnTo>
                                <a:pt x="0" y="9143"/>
                              </a:lnTo>
                              <a:lnTo>
                                <a:pt x="0" y="0"/>
                              </a:lnTo>
                              <a:lnTo>
                                <a:pt x="5980175" y="0"/>
                              </a:lnTo>
                              <a:lnTo>
                                <a:pt x="5980175" y="9143"/>
                              </a:lnTo>
                              <a:close/>
                            </a:path>
                          </a:pathLst>
                        </a:custGeom>
                        <a:solidFill>
                          <a:srgbClr val="66666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210312</wp:posOffset>
                </wp:positionH>
                <wp:positionV relativeFrom="paragraph">
                  <wp:posOffset>271727</wp:posOffset>
                </wp:positionV>
                <wp:extent cx="598043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80430" cy="1270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ind w:firstLine="360"/>
        <w:rPr/>
      </w:pPr>
      <w:r w:rsidDel="00000000" w:rsidR="00000000" w:rsidRPr="00000000">
        <w:rPr>
          <w:rtl w:val="0"/>
        </w:rPr>
        <w:t xml:space="preserve">Resumen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360" w:right="4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ensayo examina qué enfoques de planificación sustentan una Consola Web de Patio para el CEDIS de Mercado Envíos Extra, y cómo esas decisiones afectan el diseño de la persistencia. Parto de la fricción observada en campo: cajones asignados en Excel, coordinación por WhatsApp y datos personales de conductores circulando sin control. Contrasto los enfoques predictivo y ágil, la descomposición del alcance, la estimación bajo incertidumbre y el control del flujo, y argumento que el modelo relacional-geoespacial y la EDT deben ser rígidos porque protegen la integridad transaccional, mientras que el flujo de desarrollo de la interfaz puede ser ágil. Concluyo con la aplicación a tres tareas concretas de mi EDT.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planificación híbrida, integridad transaccional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firstLine="360"/>
        <w:rPr/>
      </w:pPr>
      <w:r w:rsidDel="00000000" w:rsidR="00000000" w:rsidRPr="00000000">
        <w:rPr>
          <w:rtl w:val="0"/>
        </w:rPr>
        <w:t xml:space="preserve">Introducción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360" w:right="36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Quien ha pasado una mañana en la rampa de un CEDIS sabe que el patio no es un problema de software, al menos no al principio. Es un problema de gente, camiones y metros cuadrados que alguien tiene que repartir en tiempo real. En la operación de Mercado Envíos Extra que me tocó observar, esa repartición se resuelve con una hoja de Excel que alguien actualiza (cuando puede), capturas de pantalla enviadas a grupos de WhatsApp y llamadas para confirmar qué cajón está libre. En el CEDIS donde opero hay aproximadamente 30 cajones, y las unidades por turno son variables: mi carga puede ir de unos 30 paquetes a 48, 62 o 100, según las paradas, porque en algunas se entregan de 3 a 5 paquetes en un mismo domicilio.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36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footerReference r:id="rId8" w:type="default"/>
          <w:pgSz w:h="15840" w:w="12240" w:orient="portrait"/>
          <w:pgMar w:bottom="920" w:top="1380" w:left="1080" w:right="1080" w:header="0" w:footer="68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 mirada no es la de un observador externo. Trabajo en la operación de Mercado Envíos Extra de Mercado Libre, así que conozco de primera mano la aplicación que se usa hoy en el día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360" w:right="3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día y los retrasos que esa forma de trabajar provoca en la rampa. Un caso típico: la aplicación me cita a las 2:00 p. m., pero en el grupo de WhatsApp indican otra hora, por ejemplo 1:30 p. m., y piden puntualidad. A veces envían un Excel con mi cajón y mi Ola (“OLA 1 ya pueden pasar, OLA 2 pase”); otras veces no mandan captura ni Ola, solo mensajes como “K8 pase a cajón 10”, donde K8-E10-V7 son ejemplos de códigos de ruta. Sin saber mi Ola, debo esperar a que lean mi código, y a veces los leen de uno en uno. Me ha tocado que la aplicación marque 2:00 p. m., que me citen a la 1:20 p. m. y que entre a despachar hasta las 2:20 p. m. No es un caso aislado, es común, y pesa porque la mayoría de los negocios de las paradas cierran hacia las 8:00 p. m. Esa experiencia previa es la fuente de las preguntas de este ensayo y de la evidencia empírica que aporto al Equipo 06. La aplicación móvil actual no es parte del alcance del proyecto: la uso como fuente de diagnóstico, no como objeto de rediseño.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informalidad tiene al menos tres costos. El primero es la ausencia de una fuente única de verdad: la aplicación y el grupo de WhatsApp dan horarios distintos para la misma cita. El segundo es la asignación manual de cajones y Olas, que se comunica por Excel, captura o mensajes sueltos, sin registro de estado y a veces sin indicar la Ola, lo que obliga a esperar a que alguien lea el código de ruta. El tercero, y el que más me preocupa como Tech Lead, es la exposición de PII: los datos de los conductores y sus rutas circulan en archivos e imágenes dentro de grupos abiertos, sin registro de quién los vio ni control de caducidad.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que desarrollamos en el Equipo 06 se limita a atacar eso con una Consola Web de Patio y una arquitectura de persistencia. Dejamos fuera la navegación GPS y las aplicaciones móviles, no porque no importen, sino porque mezclar alcances es la forma más rápida de no terminar nada.</w:t>
      </w:r>
    </w:p>
    <w:p w:rsidR="00000000" w:rsidDel="00000000" w:rsidP="00000000" w:rsidRDefault="00000000" w:rsidRPr="00000000" w14:paraId="00000010">
      <w:pPr>
        <w:spacing w:before="0" w:line="360" w:lineRule="auto"/>
        <w:ind w:left="360" w:right="363" w:firstLine="720"/>
        <w:jc w:val="both"/>
        <w:rPr>
          <w:b w:val="1"/>
          <w:bCs w:val="1"/>
          <w:sz w:val="24"/>
          <w:szCs w:val="24"/>
        </w:rPr>
        <w:sectPr>
          <w:type w:val="nextPage"/>
          <w:pgSz w:h="15840" w:w="12240" w:orient="portrait"/>
          <w:pgMar w:bottom="920" w:top="1360" w:left="1080" w:right="1080" w:header="0" w:footer="688"/>
        </w:sectPr>
      </w:pPr>
      <w:r w:rsidDel="00000000" w:rsidR="00000000" w:rsidRPr="00000000">
        <w:rPr>
          <w:sz w:val="24"/>
          <w:szCs w:val="24"/>
          <w:rtl w:val="0"/>
        </w:rPr>
        <w:t xml:space="preserve">La pregunta que guía este ensayo es: ¿qué enfoques de planificación y modelado de datos garantizan que un sistema de patio sea confiable bajo concurrencia real sin volverse lento de construir? Mi tesis es la siguiente: </w:t>
      </w:r>
      <w:r w:rsidDel="00000000" w:rsidR="00000000" w:rsidRPr="00000000">
        <w:rPr>
          <w:b w:val="1"/>
          <w:bCs w:val="1"/>
          <w:sz w:val="24"/>
          <w:szCs w:val="24"/>
          <w:rtl w:val="0"/>
        </w:rPr>
        <w:t xml:space="preserve">el modelado estricto de bases de datos relacionales y geoespaciales, junto con una EDT rígida, es indispensable para la integridad transaccional del patio; lo ágil es la herramienta correcta para gestionar el flujo de trabajo y la evolución de la interfaz, pero no para decidir qué es un cajón, quién puede ocuparlo y qué estados son válidos.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360" w:right="37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llego a esta tesis por gusto teórico. Llego porque en el patio un dato incorrecto se vuelve un camión detenido. Para sostenerla recorro cuatro ejes del programa, cada uno con origen, mecanismo, argumentos a favor y en contra, y un juicio propio.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ind w:firstLine="360"/>
        <w:jc w:val="both"/>
        <w:rPr/>
      </w:pPr>
      <w:r w:rsidDel="00000000" w:rsidR="00000000" w:rsidRPr="00000000">
        <w:rPr>
          <w:rtl w:val="0"/>
        </w:rPr>
        <w:t xml:space="preserve">Desarrollo por ejes</w:t>
      </w:r>
    </w:p>
    <w:p w:rsidR="00000000" w:rsidDel="00000000" w:rsidP="00000000" w:rsidRDefault="00000000" w:rsidRPr="00000000" w14:paraId="00000014">
      <w:pPr>
        <w:pStyle w:val="Heading2"/>
        <w:spacing w:before="241" w:lineRule="auto"/>
        <w:ind w:firstLine="360"/>
        <w:rPr/>
      </w:pPr>
      <w:r w:rsidDel="00000000" w:rsidR="00000000" w:rsidRPr="00000000">
        <w:rPr>
          <w:rtl w:val="0"/>
        </w:rPr>
        <w:t xml:space="preserve">Eje 1. Predictivo vs. ágil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360" w:right="36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Royce (1970, F01) suele citarse como el padre de la cascada, aunque, según se ve al leerlo completo, su artículo la presenta como un esquema ingenuo y riesgoso. Lo que propone es agregar diseño preliminar, documentación, pruebas y participación del cliente. Treinta y un años después, Beck et al. (2001, F02) firmaron el Manifiesto Ágil como reacción a procesos que consideraban pesados, priorizando software funcionando, colaboración con el cliente y respuesta al cambio.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Mecanismo.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predictivo define el alcance al inicio y avanza por fases con compuertas. El ágil trabaja en iteraciones cortas, entrega incrementos y ajusta el rumbo con retroalimentación. Serrador y Pinto (2015, F08), con datos de cientos de proyectos, encontraron que mayor nivel de agilidad se asocia con mejores resultados en eficiencia y satisfacción de las partes interesadas, y que la planificación previa también aporta al éxito.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favor.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Royce rescato que hay decisiones caras de revertir. Cambiar la estructura de una tabla con un año de asignaciones históricas no es como cambiar el color de un botón. De Beck et al. rescato lo contrario: los supervisores del CEDIS no saben bien qué quieren ver en pantalla hasta que lo ven, y una interfaz solo se afina con uso real.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4"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contra.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lectura rígida de Royce no tolera que la operación cambie a mitad del proyecto, y en un CEDIS cambia seguido. La lectura extrema del Manifiesto, por su parte, puede convertirse en improvisación con nombre bonito. Y hay que ser honestos: ser ágil no significa no diseñar, aunque muchos equipos lo practican así.</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1360" w:left="1080" w:right="1080" w:header="0" w:footer="68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Juicio crítico.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 posición es que la pregunta "¿predictivo o ágil?" está mal planteada para este proyecto, porque el sistema tiene capas con costos de cambio muy distintos. El esquema de datos tiene un costo de cambio alto y pide diseño previo. La interfaz tiene un costo bajo y pide iteración.</w:t>
      </w:r>
    </w:p>
    <w:p w:rsidR="00000000" w:rsidDel="00000000" w:rsidP="00000000" w:rsidRDefault="00000000" w:rsidRPr="00000000" w14:paraId="0000001A">
      <w:pPr>
        <w:pStyle w:val="Heading3"/>
        <w:ind w:firstLine="360"/>
        <w:rPr/>
      </w:pPr>
      <w:r w:rsidDel="00000000" w:rsidR="00000000" w:rsidRPr="00000000">
        <w:rPr>
          <w:rtl w:val="0"/>
        </w:rPr>
        <w:t xml:space="preserve">Diálogo entre autores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360" w:right="36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Royce y Beck et al. parecen enemigos, pero se parecen más de lo que se admite: ambos desconfían de descubrir los errores demasiado tarde. Royce lo resuelve con diseño anticipado; Beck, con ciclos cortos de retroalimentación. Serrador y Pinto aportan evidencia de que la agilidad ayuda, pero sus datos no autorizan a decir que "sin planificación" funciona mejor, y ahí es donde sus conclusiones se leen a menudo con más entusiasmo del que sostienen. Una síntesis defendible es que se planifica lo que cuesta cambiar y se itera lo que no.</w:t>
      </w:r>
    </w:p>
    <w:p w:rsidR="00000000" w:rsidDel="00000000" w:rsidP="00000000" w:rsidRDefault="00000000" w:rsidRPr="00000000" w14:paraId="0000001C">
      <w:pPr>
        <w:pStyle w:val="Heading2"/>
        <w:spacing w:before="240" w:lineRule="auto"/>
        <w:ind w:firstLine="360"/>
        <w:rPr/>
      </w:pPr>
      <w:r w:rsidDel="00000000" w:rsidR="00000000" w:rsidRPr="00000000">
        <w:rPr>
          <w:rtl w:val="0"/>
        </w:rPr>
        <w:t xml:space="preserve">Eje 2. Descomposición del alcance y requisitos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360" w:right="3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norma ISO/IEC/IEEE 29148 (F10) establece criterios para que un requisito sea bueno: necesario, verificable, no ambiguo, consistente. Cohn (2004, F13) propuso las historias de usuario como una forma ligera de capturar necesidades. La Regla del 100% de la EDT (PMI, 2019, F09) nace de la gestión tradicional de alcance. MoSCoW viene de Clegg y Barker (1994, F12), en el contexto del desarrollo rápido de aplicaciones.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Mecanismo.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EDT descompone el trabajo en entregables, y la Regla del 100% exige que lo que hay en los hijos sume exactamente lo que dice el padre: ni más ni menos. Las historias de usuario describen valor en una frase. MoSCoW clasifica en Must, Should, Could y Won't.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favor.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EDT me protege de lo que más tiempo se le va a un equipo estudiantil: el trabajo que nadie recuerda haber aceptado. Las historias de usuario nos mantienen cerca del supervisor, que es quien usa la consola. MoSCoW ayuda a decir "no" con argumentos, y el "Won't" es donde pusimos explícitamente GPS y móvil.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contra.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EDT demasiado detallada se vuelve un documento que nadie actualiza. Las historias de usuario, por su parte, son flojas para requisitos no funcionales como la concurrencia o la protección de PII, que en este proyecto son críticos. Y Achimugu et al. (2014, F14) revisaron la literatura de priorización de requisitos y señalan que técnicas como MoSCoW son simples pero subjetivas, difíciles de escalar y poco consistentes entre evaluadores.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1360" w:left="1080" w:right="1080" w:header="0" w:footer="68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Juicio crítico.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Combino las tres cosas con roles distintos. La EDT y la ISO 29148 gobiernan la parte de persistencia, donde cada requisito debe poder verificarse (por ejemplo, "dos asignaciones simultáneas al mismo cajón no pueden coexistir"). MoSCoW lo uso para priorizar pantallas, pero reconozco su debilidad: lo hago con el equipo y, para los "Must", pido un criterio de aceptación escrito para no depender solo de la intuición. Admito que en la práctica nuestro primer MoSCoW fue bastante intuitivo, y eso es justo lo que Achimugu et al. advierten.</w:t>
      </w:r>
    </w:p>
    <w:p w:rsidR="00000000" w:rsidDel="00000000" w:rsidP="00000000" w:rsidRDefault="00000000" w:rsidRPr="00000000" w14:paraId="00000022">
      <w:pPr>
        <w:pStyle w:val="Heading2"/>
        <w:ind w:firstLine="360"/>
        <w:rPr/>
      </w:pPr>
      <w:r w:rsidDel="00000000" w:rsidR="00000000" w:rsidRPr="00000000">
        <w:rPr>
          <w:rtl w:val="0"/>
        </w:rPr>
        <w:t xml:space="preserve">Eje 3. Tiempo e incertidumbre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360" w:right="37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Gantt (1919, F15) popularizó el diagrama de barras para visualizar el trabajo en el tiempo. Kelley y Walker (1959, F18) desarrollaron el método de la ruta crítica (CPM) y Malcolm et al. (1959, F20) el PERT, ambos en el ámbito industrial y militar de los años cincuenta.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Mecanismo.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Gantt muestra qué ocurre cuándo. CPM identifica la cadena de tareas sin holgura que determina la duración mínima del proyecto. PERT añade incertidumbre: estima cada tarea con un valor optimista, uno probable y uno pesimista, y calcula una duración esperada.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7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favor.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Gantt es entendible para cualquiera, incluido alguien de operaciones que no sabe de software. CPM me obliga a ver dependencias que de otro modo ignoraría; por ejemplo, que no puedo cargar datos reales al modelo espacial sin haber levantado antes el plano del patio. PERT me recuerda que una estimación es un rango.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contra.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MacCrimmon y Ryavec (1964, F21) mostraron que los supuestos matemáticos de PERT (distribución beta, independencia entre tareas) pueden subestimar la duración real. Y está el problema humano. Buehler et al. (1994, F23) documentaron la falacia de la planificación: las personas estiman con optimismo incluso sabiendo que proyectos parecidos se retrasaron. Flyvbjerg (2006, F24) mostró que en proyectos grandes el sobrecosto y el retraso son la norma, no la excepción. Brooks (1995, F25) añadió una advertencia clásica: sumar personas a un proyecto atrasado suele atrasarlo más, por la sobrecarga de comunicación.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Juicio crítico.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 lectura es incómoda para mí mismo: yo soy el sesgo optimista. Cuando estimé el levantamiento de campo, pensé "dos visitas". Lo más probable es que sean más, porque el patio cambia según el turno y el día. Por eso uso CPM para ordenar dependencias, pero no creo en la fecha que sale; le agrego colchones explícitos, especialmente en las tareas de datos, y no pienso resolver un retraso metiendo más integrantes al equipo, porque Brooks ya describió cómo termina eso. El Gantt lo conservo como herramienta de comunicación, no como promesa.</w:t>
      </w:r>
    </w:p>
    <w:p w:rsidR="00000000" w:rsidDel="00000000" w:rsidP="00000000" w:rsidRDefault="00000000" w:rsidRPr="00000000" w14:paraId="00000028">
      <w:pPr>
        <w:pStyle w:val="Heading2"/>
        <w:spacing w:before="239" w:lineRule="auto"/>
        <w:ind w:firstLine="360"/>
        <w:rPr/>
      </w:pPr>
      <w:r w:rsidDel="00000000" w:rsidR="00000000" w:rsidRPr="00000000">
        <w:rPr>
          <w:rtl w:val="0"/>
        </w:rPr>
        <w:t xml:space="preserve">Eje 4. Control, flujo y visión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360" w:right="3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1360" w:left="1080" w:right="1080" w:header="0" w:footer="68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línea base aparece en la ISO 21502 (F05) como la versión aprobada del alcance, tiempo y costo contra la cual se mide el avance. Kanban nace en Toyota con Ohno (1988, F26), se adapta al trabajo de conocimiento con Anderson (2010, F27) y se refina con métricas de flujo en Vacanti y Coleman (2020, F28). El Roadmap se discute en Phaal et al. (2004, F30) como marco para alinear tecnología y negocio, y en Cohn (2005, F31) como herramienta de planificación a varios niveles.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360" w:right="3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Mecanismo.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línea base permite detectar desviaciones. Kanban visualiza el trabajo, limita el trabajo en progreso (WIP) y mide tiempos de ciclo. El Roadmap muestra la dirección del producto sin comprometerse con fechas finas.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favor.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línea base me da algo con qué discutir con el asesor: "esto es lo que aprobamos, esto es lo que llevamos". Kanban deja ver de inmediato dónde se atora el trabajo; en nuestro tablero, casi siempre es en revisión, no en desarrollo. El Roadmap ayuda a no mezclar lo que haremos ahora con lo que dejamos como trabajo futuro.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contra.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línea base congelada puede volverse una trampa si la realidad cambia. Kanban, por sí solo, no da compromisos de fecha ni protege contra el sesgo optimista si el equipo no mide con honestidad. Y un Roadmap puede degradarse en una lista de deseos que los stakeholders leen como promesa.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Juicio crítico.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la línea base para el alcance estructural (modelo de datos, restricciones, seguridad) y Kanban para el día a día de la consola. No es elegante, pero funciona: la línea base cambia por decisión formal, el tablero cambia cada día.</w:t>
      </w:r>
    </w:p>
    <w:p w:rsidR="00000000" w:rsidDel="00000000" w:rsidP="00000000" w:rsidRDefault="00000000" w:rsidRPr="00000000" w14:paraId="0000002E">
      <w:pPr>
        <w:pStyle w:val="Heading3"/>
        <w:spacing w:before="200" w:lineRule="auto"/>
        <w:ind w:firstLine="360"/>
        <w:rPr/>
      </w:pPr>
      <w:r w:rsidDel="00000000" w:rsidR="00000000" w:rsidRPr="00000000">
        <w:rPr>
          <w:rtl w:val="0"/>
        </w:rPr>
        <w:t xml:space="preserve">Diálogo entre autores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360" w:right="36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Ohno entendió el flujo como un fenómeno físico, donde la pieza que espera es dinero detenido. Anderson trasladó esa idea a trabajo intangible y Vacanti y Coleman la volvieron medible. Esa evolución me parece lo más útil del eje, porque un patio logístico es un sistema de flujo: camiones que entran, esperan, descargan y salen, y la misma lógica de cuellos de botella y espera se aplica tanto al patio como al equipo que lo programa. Frente a ellos, la ISO 21502 representa el control por comparación contra un plan. No creo que se contradigan: una controla qué se prometió y la otra cómo fluye el trabajo. Donde sí chocan es en el tono, porque la norma asume que el plan es estable y Kanban asume que no. Mi proyecto necesita ambos supuestos, cada uno en su capa.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spacing w:before="1" w:lineRule="auto"/>
        <w:ind w:firstLine="360"/>
        <w:jc w:val="both"/>
        <w:rPr/>
      </w:pPr>
      <w:r w:rsidDel="00000000" w:rsidR="00000000" w:rsidRPr="00000000">
        <w:rPr>
          <w:rtl w:val="0"/>
        </w:rPr>
        <w:t xml:space="preserve">Contraargumento y refutación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360" w:right="36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1360" w:left="1080" w:right="1080" w:header="0" w:footer="6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 una postura razonable, que escuché en más de una conversación de equipo, según la cual las bases de datos para sistemas web de patio pueden construirse sin modelado relacional ni EDT previa, usando solo esquemas no relacionales ágiles, por ejemplo MongoDB para todo. Sus defensores señalan que es más rápido para empezar, tolera cambios de estructura y evita el costo de diseñar antes de saber qué se necesita. Es un argumento serio, y para ciertos datos tiene razón.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360" w:right="36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Pero el patio tiene una propiedad que lo cambia todo: es un recurso físico escaso compartido por varios actores a la vez. Un cajón solo puede tener un camión. Si dos supervisores lo asignan casi al mismo tiempo, el sistema debe garantizar que solo una de las operaciones sobreviva. En un modelo flexible sin restricciones, la segunda escritura puede pisar a la primera sin avisar, y esa falla no se ve en la base de datos sino en la rampa, con dos camiones peleando por el mismo espacio.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5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resuelve esto con mecanismos concretos, y vale la pena nombrarlos. Las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llaves foráneas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impiden asignar un cajón a un conductor que no existe o a una oleada cancelada. Las restricciones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limitan estados y valores, por ejemplo que el estado de un cajón solo pueda ser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libre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reservado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ocupado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bloqueado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que la longitud del vehículo no exceda la del cajón. Una restricción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parcial (o de exclusión con PostGIS y rangos de tiempo) puede impedir dos asignaciones activas sobre el mismo cajón. Y las transacciones ACID aseguran que una asignación se complete entera o no ocurra.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Dicho en código, la idea es sencilla: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434150</wp:posOffset>
                </wp:positionH>
                <wp:positionV relativeFrom="paragraph">
                  <wp:posOffset>160613</wp:posOffset>
                </wp:positionV>
                <wp:extent cx="5532755" cy="1204595"/>
                <wp:effectExtent b="0" l="0" r="0" t="0"/>
                <wp:wrapTopAndBottom distB="0" distT="0"/>
                <wp:docPr id="4" name=""/>
                <a:graphic>
                  <a:graphicData uri="http://schemas.microsoft.com/office/word/2010/wordprocessingShape">
                    <wps:wsp>
                      <wps:cNvSpPr/>
                      <wps:cNvPr id="5" name="Shape 5"/>
                      <wps:spPr>
                        <a:xfrm>
                          <a:off x="2584385" y="3182465"/>
                          <a:ext cx="5523230" cy="1195070"/>
                        </a:xfrm>
                        <a:prstGeom prst="rect">
                          <a:avLst/>
                        </a:prstGeom>
                        <a:solidFill>
                          <a:srgbClr val="F2F2F2"/>
                        </a:solidFill>
                        <a:ln>
                          <a:noFill/>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ALTER TABLE cajon</w:t>
                            </w:r>
                          </w:p>
                          <w:p w:rsidR="00000000" w:rsidDel="00000000" w:rsidP="00000000" w:rsidRDefault="00000000" w:rsidRPr="00000000">
                            <w:pPr>
                              <w:spacing w:after="0" w:before="32.99999952316284" w:line="240"/>
                              <w:ind w:left="268.99999618530273" w:right="0" w:firstLine="268.99999618530273"/>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ADD CONSTRAINT chk_estado</w:t>
                            </w:r>
                          </w:p>
                          <w:p w:rsidR="00000000" w:rsidDel="00000000" w:rsidP="00000000" w:rsidRDefault="00000000" w:rsidRPr="00000000">
                            <w:pPr>
                              <w:spacing w:after="0" w:before="35" w:line="240"/>
                              <w:ind w:left="268.99999618530273" w:right="0" w:firstLine="268.99999618530273"/>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CHECK (estado IN ('libre','reservado','ocupado','bloqueado'));</w:t>
                            </w:r>
                          </w:p>
                          <w:p w:rsidR="00000000" w:rsidDel="00000000" w:rsidP="00000000" w:rsidRDefault="00000000" w:rsidRPr="00000000">
                            <w:pPr>
                              <w:spacing w:after="0" w:before="125"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73.0000114440918"/>
                              <w:ind w:left="268.99999618530273" w:right="3873.9999389648438"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CREATE UNIQUE INDEX uq_asignacion_activa ON asignacion (id_cajon)</w:t>
                            </w:r>
                          </w:p>
                          <w:p w:rsidR="00000000" w:rsidDel="00000000" w:rsidP="00000000" w:rsidRDefault="00000000" w:rsidRPr="00000000">
                            <w:pPr>
                              <w:spacing w:after="0" w:before="4.000000059604645" w:line="240"/>
                              <w:ind w:left="268.99999618530273" w:right="0" w:firstLine="268.99999618530273"/>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WHERE activa = true;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434150</wp:posOffset>
                </wp:positionH>
                <wp:positionV relativeFrom="paragraph">
                  <wp:posOffset>160613</wp:posOffset>
                </wp:positionV>
                <wp:extent cx="5532755" cy="1204595"/>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532755" cy="1204595"/>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360" w:lineRule="auto"/>
        <w:ind w:left="360" w:right="36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esas reglas existan, alguien tuvo que decidir antes qué estados existen, qué relaciones son obligatorias y qué cuenta como asignación válida. Ese trabajo es exactamente la descomposición que el Eje 2 describe, y por eso el modelado previo es un requisito previo, no burocracia.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36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1360" w:left="1080" w:right="1080" w:header="0" w:footer="6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Concedo algo al contraargumento: MongoDB tiene un lugar. Lo contemplo para bitácoras de auditoría y eventos semiestructurados, y Redis para caché, sesiones y bloqueos de corta duración. Pero el núcleo (cajones, conductores, asignaciones) debe vivir en un modelo con integridad garantizada por el motor, no por la disciplina de quien escribe el código. En cuanto a la PII, un modelo relacional también facilita separar los datos personales en tablas con acceso restringido, algo que en un documento flexible y anidado es más fácil de olvidar.</w:t>
      </w:r>
    </w:p>
    <w:p w:rsidR="00000000" w:rsidDel="00000000" w:rsidP="00000000" w:rsidRDefault="00000000" w:rsidRPr="00000000" w14:paraId="00000039">
      <w:pPr>
        <w:pStyle w:val="Heading1"/>
        <w:spacing w:before="60" w:lineRule="auto"/>
        <w:ind w:firstLine="360"/>
        <w:jc w:val="both"/>
        <w:rPr/>
      </w:pPr>
      <w:r w:rsidDel="00000000" w:rsidR="00000000" w:rsidRPr="00000000">
        <w:rPr>
          <w:rtl w:val="0"/>
        </w:rPr>
        <w:t xml:space="preserve">Aplicación a mi Proyecto Integrador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ideas se concretan en tres tareas de la EDT que me corresponden.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360" w:right="36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Levantamiento de campo.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mi aportación más directa, porque la evidencia de Mercado Envíos Extra sale de aquí. Parto de mi experiencia previa trabajando en Envíos Extra y usando la aplicación actual, pero la trato como una hipótesis que debo contrastar con observación sistemática, para no confundir anécdota con evidencia. La tarea es de naturaleza predictiva, en el sentido de la ISO 29148: sus resultados alimentan requisitos que deben ser verificables. Lo que ya conozco del proceso en el cajón es esto: escaneo el QR de mi ruta (por ejemplo K8), cuento los paquetes uno por uno y capturo la cantidad en la aplicación. Si no coincide (cuento 51 de 52), la aplicación marca error y solo hay un segundo intento; si vuelvo a fallar, interviene aduana, que los cuenta de uno en uno o trae el paquete faltante. Después acomodo cada paquete por número de parada (K1-1, K1-2, etc.), y entre todo eso paso unos 25 minutos en el mejor caso, más si los paquetes pesan o son muy grandes o muy pequeños. De aquí extraigo estados candidatos para el modelo (Ola llamada, cajón asignado, conteo en verificación, discrepancia) que debo validar en campo. Por el sesgo optimista descrito por Buehler et al. (1994), planeé tiempo extra para segundas visitas.</w:t>
      </w:r>
    </w:p>
    <w:p w:rsidR="00000000" w:rsidDel="00000000" w:rsidP="00000000" w:rsidRDefault="00000000" w:rsidRPr="00000000" w14:paraId="0000003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642"/>
        </w:tabs>
        <w:spacing w:after="0" w:before="0" w:line="360" w:lineRule="auto"/>
        <w:ind w:left="360" w:right="363"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PostGIS.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Aquí se materializa la tesis. Cada cajón se representa como un polígono georreferenciado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geometry(Polygon, 4326)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un sistema proyectado local si necesitamos medir distancias en metros), junto con las tablas de conductores, vehículos, oleadas y asignaciones, y las restricciones descritas antes. Una falla en este modelo contamina todo lo que se construya encima, por eso lo planifico de forma casi secuencial y lo reviso con el equipo antes de programar la consola, siguiendo la lógica de costo de cambio alto que discutí en el Eje 1.</w:t>
      </w:r>
    </w:p>
    <w:p w:rsidR="00000000" w:rsidDel="00000000" w:rsidP="00000000" w:rsidRDefault="00000000" w:rsidRPr="00000000" w14:paraId="0000003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606"/>
        </w:tabs>
        <w:spacing w:after="0" w:before="0" w:line="360" w:lineRule="auto"/>
        <w:ind w:left="360" w:right="366" w:firstLine="720"/>
        <w:jc w:val="both"/>
        <w:rPr>
          <w:smallCaps w:val="0"/>
          <w:strike w:val="0"/>
          <w:color w:val="000000"/>
          <w:u w:val="none"/>
          <w:shd w:fill="auto" w:val="clear"/>
          <w:vertAlign w:val="baseline"/>
        </w:rPr>
        <w:sectPr>
          <w:type w:val="nextPage"/>
          <w:pgSz w:h="15840" w:w="12240" w:orient="portrait"/>
          <w:pgMar w:bottom="920" w:top="1380" w:left="1080" w:right="1080" w:header="0" w:footer="68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Consultas Top-K para cajones de patio.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supervisor no quiere una lista de cajones libres, quiere los mejores K para una ruta concreta: los más cercanos a su andén que cumplan con estado, dimensiones y Ola. Esto se logra con consultas de vecino más cercano sobre un índice espacial GiST. Con unos 30 cajones, el rendimiento no será el cuello de botella; el valor de la consulta está en aplicar las reglas de forma correcta y registrable, y el índice es una decisión de escalabilidad por si el modelo se replica en CEDIS más grandes. Primero la hago funcionar, después la mido con datos de un turno real, y solo entonces afino. Cuando el resultado se muestre en la consola, esa parte ya entra en el flujo ágil del tablero.</w:t>
      </w:r>
    </w:p>
    <w:p w:rsidR="00000000" w:rsidDel="00000000" w:rsidP="00000000" w:rsidRDefault="00000000" w:rsidRPr="00000000" w14:paraId="0000003E">
      <w:pPr>
        <w:pStyle w:val="Heading1"/>
        <w:spacing w:before="60" w:lineRule="auto"/>
        <w:ind w:firstLine="360"/>
        <w:rPr/>
      </w:pPr>
      <w:r w:rsidDel="00000000" w:rsidR="00000000" w:rsidRPr="00000000">
        <w:rPr>
          <w:rtl w:val="0"/>
        </w:rPr>
        <w:t xml:space="preserve">Conclusión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360" w:right="36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Empecé este ensayo con la imagen de una rampa, un Excel y un grupo de WhatsApp, y creo que la conclusión es que el problema del patio no se resuelve con una interfaz bonita sino con reglas que el sistema haga cumplir. Los autores revisados no ofrecen una receta única, y esa es parte de su valor. Royce nos recuerda que hay decisiones que conviene pensar antes; Beck et al., que el usuario no sabe lo que quiere hasta que lo toca; Serrador y Pinto, que la evidencia favorece la flexibilidad pero no elimina la planificación; el PMI, que sin límites claros de alcance el proyecto se infla; Brooks, Buehler y Flyvbjerg, que mis fechas son menos confiables de lo que quiero creer; y Ohno, Anderson y Vacanti, que hacer visible el flujo es medio camino para mejorarlo.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369" w:firstLine="720"/>
        <w:jc w:val="both"/>
        <w:rPr>
          <w:sz w:val="24"/>
          <w:szCs w:val="24"/>
        </w:rPr>
        <w:sectPr>
          <w:type w:val="nextPage"/>
          <w:pgSz w:h="15840" w:w="12240" w:orient="portrait"/>
          <w:pgMar w:bottom="920" w:top="1380" w:left="1080" w:right="1080" w:header="0" w:footer="68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Mantengo la tesis con un matiz. Lo rígido es el modelo relacional-geoespacial y la EDT que lo respalda, porque ahí se juega la integridad transaccional y la protección de la PII. Lo ágil es el flujo de trabajo y la evolución de la consola. Me queda una duda honesta: no sé aún si la frontera entre ambos será tan limpia como la dibujé. Es probable que en el camino descubramos requisitos de interfaz que obliguen a tocar el modelo, y entonces la línea base tendrá que cambiar por una decisión formal, no por accidente.</w:t>
      </w:r>
      <w:r w:rsidDel="00000000" w:rsidR="00000000" w:rsidRPr="00000000">
        <w:rPr>
          <w:rtl w:val="0"/>
        </w:rPr>
      </w:r>
    </w:p>
    <w:p w:rsidR="00000000" w:rsidDel="00000000" w:rsidP="00000000" w:rsidRDefault="00000000" w:rsidRPr="00000000" w14:paraId="00000041">
      <w:pPr>
        <w:pStyle w:val="Heading1"/>
        <w:spacing w:before="76" w:lineRule="auto"/>
        <w:ind w:left="4339" w:firstLine="0"/>
        <w:rPr/>
      </w:pPr>
      <w:r w:rsidDel="00000000" w:rsidR="00000000" w:rsidRPr="00000000">
        <w:rPr>
          <w:rtl w:val="0"/>
        </w:rPr>
        <w:t xml:space="preserve">Referencias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360" w:lineRule="auto"/>
        <w:ind w:left="1080" w:right="40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Achimugu, P., Selamat, A., Ibrahim, R., &amp; Mahrin, M. N. (2014). A systematic literature review of software requirements prioritization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and Software Technology, 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568-585.</w:t>
      </w:r>
    </w:p>
    <w:p w:rsidR="00000000" w:rsidDel="00000000" w:rsidP="00000000" w:rsidRDefault="00000000" w:rsidRPr="00000000" w14:paraId="00000043">
      <w:pPr>
        <w:spacing w:before="1" w:lineRule="auto"/>
        <w:ind w:left="360" w:right="0" w:firstLine="0"/>
        <w:jc w:val="left"/>
        <w:rPr>
          <w:sz w:val="24"/>
          <w:szCs w:val="24"/>
        </w:rPr>
      </w:pPr>
      <w:r w:rsidDel="00000000" w:rsidR="00000000" w:rsidRPr="00000000">
        <w:rPr>
          <w:sz w:val="24"/>
          <w:szCs w:val="24"/>
          <w:rtl w:val="0"/>
        </w:rPr>
        <w:t xml:space="preserve">Anderson, D. J. (2010). </w:t>
      </w:r>
      <w:r w:rsidDel="00000000" w:rsidR="00000000" w:rsidRPr="00000000">
        <w:rPr>
          <w:i w:val="1"/>
          <w:iCs w:val="1"/>
          <w:sz w:val="24"/>
          <w:szCs w:val="24"/>
          <w:rtl w:val="0"/>
        </w:rPr>
        <w:t xml:space="preserve">Kanban: Successful evolutionary change for your technology business</w:t>
      </w:r>
      <w:r w:rsidDel="00000000" w:rsidR="00000000" w:rsidRPr="00000000">
        <w:rPr>
          <w:sz w:val="24"/>
          <w:szCs w:val="24"/>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Blue Hole Press.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K., Beedle, M., van Bennekum, A., Cockburn, A., Cunningham, W., Fowler, M., ...</w:t>
      </w:r>
    </w:p>
    <w:p w:rsidR="00000000" w:rsidDel="00000000" w:rsidP="00000000" w:rsidRDefault="00000000" w:rsidRPr="00000000" w14:paraId="00000046">
      <w:pPr>
        <w:spacing w:before="137" w:lineRule="auto"/>
        <w:ind w:left="1080" w:right="0" w:firstLine="0"/>
        <w:jc w:val="left"/>
        <w:rPr>
          <w:sz w:val="24"/>
          <w:szCs w:val="24"/>
        </w:rPr>
      </w:pPr>
      <w:r w:rsidDel="00000000" w:rsidR="00000000" w:rsidRPr="00000000">
        <w:rPr>
          <w:sz w:val="24"/>
          <w:szCs w:val="24"/>
          <w:rtl w:val="0"/>
        </w:rPr>
        <w:t xml:space="preserve">Thomas, D. (2001). </w:t>
      </w:r>
      <w:r w:rsidDel="00000000" w:rsidR="00000000" w:rsidRPr="00000000">
        <w:rPr>
          <w:i w:val="1"/>
          <w:iCs w:val="1"/>
          <w:sz w:val="24"/>
          <w:szCs w:val="24"/>
          <w:rtl w:val="0"/>
        </w:rPr>
        <w:t xml:space="preserve">Manifesto for agile software development</w:t>
      </w:r>
      <w:r w:rsidDel="00000000" w:rsidR="00000000" w:rsidRPr="00000000">
        <w:rPr>
          <w:sz w:val="24"/>
          <w:szCs w:val="24"/>
          <w:rtl w:val="0"/>
        </w:rPr>
        <w:t xml:space="preserve">. Agile Alliance.</w:t>
      </w:r>
    </w:p>
    <w:p w:rsidR="00000000" w:rsidDel="00000000" w:rsidP="00000000" w:rsidRDefault="00000000" w:rsidRPr="00000000" w14:paraId="00000047">
      <w:pPr>
        <w:spacing w:before="139" w:line="360" w:lineRule="auto"/>
        <w:ind w:left="1080" w:right="400" w:hanging="720"/>
        <w:jc w:val="left"/>
        <w:rPr>
          <w:sz w:val="24"/>
          <w:szCs w:val="24"/>
        </w:rPr>
      </w:pPr>
      <w:r w:rsidDel="00000000" w:rsidR="00000000" w:rsidRPr="00000000">
        <w:rPr>
          <w:sz w:val="24"/>
          <w:szCs w:val="24"/>
          <w:rtl w:val="0"/>
        </w:rPr>
        <w:t xml:space="preserve">Brooks, F. P. (1995). </w:t>
      </w:r>
      <w:r w:rsidDel="00000000" w:rsidR="00000000" w:rsidRPr="00000000">
        <w:rPr>
          <w:i w:val="1"/>
          <w:iCs w:val="1"/>
          <w:sz w:val="24"/>
          <w:szCs w:val="24"/>
          <w:rtl w:val="0"/>
        </w:rPr>
        <w:t xml:space="preserve">The mythical man-month: Essays on software engineering </w:t>
      </w:r>
      <w:r w:rsidDel="00000000" w:rsidR="00000000" w:rsidRPr="00000000">
        <w:rPr>
          <w:sz w:val="24"/>
          <w:szCs w:val="24"/>
          <w:rtl w:val="0"/>
        </w:rPr>
        <w:t xml:space="preserve">(Anniversary ed.). Addison-Wesley.</w:t>
      </w:r>
    </w:p>
    <w:p w:rsidR="00000000" w:rsidDel="00000000" w:rsidP="00000000" w:rsidRDefault="00000000" w:rsidRPr="00000000" w14:paraId="00000048">
      <w:pPr>
        <w:spacing w:before="0" w:line="360" w:lineRule="auto"/>
        <w:ind w:left="1080" w:right="0" w:hanging="720"/>
        <w:jc w:val="left"/>
        <w:rPr>
          <w:sz w:val="24"/>
          <w:szCs w:val="24"/>
        </w:rPr>
      </w:pPr>
      <w:r w:rsidDel="00000000" w:rsidR="00000000" w:rsidRPr="00000000">
        <w:rPr>
          <w:sz w:val="24"/>
          <w:szCs w:val="24"/>
          <w:rtl w:val="0"/>
        </w:rPr>
        <w:t xml:space="preserve">Buehler, R., Griffin, D., &amp; Ross, M. (1994). Exploring the "planning fallacy": Why people underestimate their task completion times. </w:t>
      </w:r>
      <w:r w:rsidDel="00000000" w:rsidR="00000000" w:rsidRPr="00000000">
        <w:rPr>
          <w:i w:val="1"/>
          <w:iCs w:val="1"/>
          <w:sz w:val="24"/>
          <w:szCs w:val="24"/>
          <w:rtl w:val="0"/>
        </w:rPr>
        <w:t xml:space="preserve">Journal of Personality and Social Psychology, 67</w:t>
      </w:r>
      <w:r w:rsidDel="00000000" w:rsidR="00000000" w:rsidRPr="00000000">
        <w:rPr>
          <w:sz w:val="24"/>
          <w:szCs w:val="24"/>
          <w:rtl w:val="0"/>
        </w:rPr>
        <w:t xml:space="preserve">(3), 366-381.</w:t>
      </w:r>
    </w:p>
    <w:p w:rsidR="00000000" w:rsidDel="00000000" w:rsidP="00000000" w:rsidRDefault="00000000" w:rsidRPr="00000000" w14:paraId="00000049">
      <w:pPr>
        <w:spacing w:before="0" w:line="360" w:lineRule="auto"/>
        <w:ind w:left="360" w:right="400" w:firstLine="0"/>
        <w:jc w:val="left"/>
        <w:rPr>
          <w:sz w:val="24"/>
          <w:szCs w:val="24"/>
        </w:rPr>
      </w:pPr>
      <w:r w:rsidDel="00000000" w:rsidR="00000000" w:rsidRPr="00000000">
        <w:rPr>
          <w:sz w:val="24"/>
          <w:szCs w:val="24"/>
          <w:rtl w:val="0"/>
        </w:rPr>
        <w:t xml:space="preserve">Clegg, D., &amp; Barker, R. (1994). </w:t>
      </w:r>
      <w:r w:rsidDel="00000000" w:rsidR="00000000" w:rsidRPr="00000000">
        <w:rPr>
          <w:i w:val="1"/>
          <w:iCs w:val="1"/>
          <w:sz w:val="24"/>
          <w:szCs w:val="24"/>
          <w:rtl w:val="0"/>
        </w:rPr>
        <w:t xml:space="preserve">Case method fast-track: A RAD approach</w:t>
      </w:r>
      <w:r w:rsidDel="00000000" w:rsidR="00000000" w:rsidRPr="00000000">
        <w:rPr>
          <w:sz w:val="24"/>
          <w:szCs w:val="24"/>
          <w:rtl w:val="0"/>
        </w:rPr>
        <w:t xml:space="preserve">. Addison-Wesley. Cohn, M. (2004). </w:t>
      </w:r>
      <w:r w:rsidDel="00000000" w:rsidR="00000000" w:rsidRPr="00000000">
        <w:rPr>
          <w:i w:val="1"/>
          <w:iCs w:val="1"/>
          <w:sz w:val="24"/>
          <w:szCs w:val="24"/>
          <w:rtl w:val="0"/>
        </w:rPr>
        <w:t xml:space="preserve">User stories applied: For agile software development</w:t>
      </w:r>
      <w:r w:rsidDel="00000000" w:rsidR="00000000" w:rsidRPr="00000000">
        <w:rPr>
          <w:sz w:val="24"/>
          <w:szCs w:val="24"/>
          <w:rtl w:val="0"/>
        </w:rPr>
        <w:t xml:space="preserve">. Addison-Wesley.</w:t>
      </w:r>
    </w:p>
    <w:p w:rsidR="00000000" w:rsidDel="00000000" w:rsidP="00000000" w:rsidRDefault="00000000" w:rsidRPr="00000000" w14:paraId="0000004A">
      <w:pPr>
        <w:spacing w:before="0" w:lineRule="auto"/>
        <w:ind w:left="360" w:right="0" w:firstLine="0"/>
        <w:jc w:val="left"/>
        <w:rPr>
          <w:sz w:val="24"/>
          <w:szCs w:val="24"/>
        </w:rPr>
      </w:pPr>
      <w:r w:rsidDel="00000000" w:rsidR="00000000" w:rsidRPr="00000000">
        <w:rPr>
          <w:sz w:val="24"/>
          <w:szCs w:val="24"/>
          <w:rtl w:val="0"/>
        </w:rPr>
        <w:t xml:space="preserve">Cohn, M. (2005). </w:t>
      </w:r>
      <w:r w:rsidDel="00000000" w:rsidR="00000000" w:rsidRPr="00000000">
        <w:rPr>
          <w:i w:val="1"/>
          <w:iCs w:val="1"/>
          <w:sz w:val="24"/>
          <w:szCs w:val="24"/>
          <w:rtl w:val="0"/>
        </w:rPr>
        <w:t xml:space="preserve">Agile estimating and planning</w:t>
      </w:r>
      <w:r w:rsidDel="00000000" w:rsidR="00000000" w:rsidRPr="00000000">
        <w:rPr>
          <w:sz w:val="24"/>
          <w:szCs w:val="24"/>
          <w:rtl w:val="0"/>
        </w:rPr>
        <w:t xml:space="preserve">. Prentice Hall.</w:t>
      </w:r>
    </w:p>
    <w:p w:rsidR="00000000" w:rsidDel="00000000" w:rsidP="00000000" w:rsidRDefault="00000000" w:rsidRPr="00000000" w14:paraId="0000004B">
      <w:pPr>
        <w:spacing w:before="138" w:line="360" w:lineRule="auto"/>
        <w:ind w:left="1080" w:right="0" w:hanging="720"/>
        <w:jc w:val="left"/>
        <w:rPr>
          <w:sz w:val="24"/>
          <w:szCs w:val="24"/>
        </w:rPr>
      </w:pPr>
      <w:r w:rsidDel="00000000" w:rsidR="00000000" w:rsidRPr="00000000">
        <w:rPr>
          <w:sz w:val="24"/>
          <w:szCs w:val="24"/>
          <w:rtl w:val="0"/>
        </w:rPr>
        <w:t xml:space="preserve">Flyvbjerg, B. (2006). From Nobel Prize to project management: Getting risks right. </w:t>
      </w:r>
      <w:r w:rsidDel="00000000" w:rsidR="00000000" w:rsidRPr="00000000">
        <w:rPr>
          <w:i w:val="1"/>
          <w:iCs w:val="1"/>
          <w:sz w:val="24"/>
          <w:szCs w:val="24"/>
          <w:rtl w:val="0"/>
        </w:rPr>
        <w:t xml:space="preserve">Project Management Journal, 37</w:t>
      </w:r>
      <w:r w:rsidDel="00000000" w:rsidR="00000000" w:rsidRPr="00000000">
        <w:rPr>
          <w:sz w:val="24"/>
          <w:szCs w:val="24"/>
          <w:rtl w:val="0"/>
        </w:rPr>
        <w:t xml:space="preserve">(3), 5-15.</w:t>
      </w:r>
    </w:p>
    <w:p w:rsidR="00000000" w:rsidDel="00000000" w:rsidP="00000000" w:rsidRDefault="00000000" w:rsidRPr="00000000" w14:paraId="0000004C">
      <w:pPr>
        <w:spacing w:before="0" w:lineRule="auto"/>
        <w:ind w:left="360" w:right="0" w:firstLine="0"/>
        <w:jc w:val="left"/>
        <w:rPr>
          <w:sz w:val="24"/>
          <w:szCs w:val="24"/>
        </w:rPr>
      </w:pPr>
      <w:r w:rsidDel="00000000" w:rsidR="00000000" w:rsidRPr="00000000">
        <w:rPr>
          <w:sz w:val="24"/>
          <w:szCs w:val="24"/>
          <w:rtl w:val="0"/>
        </w:rPr>
        <w:t xml:space="preserve">Gantt, H. L. (1919). </w:t>
      </w:r>
      <w:r w:rsidDel="00000000" w:rsidR="00000000" w:rsidRPr="00000000">
        <w:rPr>
          <w:i w:val="1"/>
          <w:iCs w:val="1"/>
          <w:sz w:val="24"/>
          <w:szCs w:val="24"/>
          <w:rtl w:val="0"/>
        </w:rPr>
        <w:t xml:space="preserve">Organizing for work</w:t>
      </w:r>
      <w:r w:rsidDel="00000000" w:rsidR="00000000" w:rsidRPr="00000000">
        <w:rPr>
          <w:sz w:val="24"/>
          <w:szCs w:val="24"/>
          <w:rtl w:val="0"/>
        </w:rPr>
        <w:t xml:space="preserve">. Harcourt, Brace and Howe.</w:t>
      </w:r>
    </w:p>
    <w:p w:rsidR="00000000" w:rsidDel="00000000" w:rsidP="00000000" w:rsidRDefault="00000000" w:rsidRPr="00000000" w14:paraId="0000004D">
      <w:pPr>
        <w:spacing w:before="137" w:line="360" w:lineRule="auto"/>
        <w:ind w:left="1080" w:right="0" w:hanging="720"/>
        <w:jc w:val="left"/>
        <w:rPr>
          <w:sz w:val="24"/>
          <w:szCs w:val="24"/>
        </w:rPr>
      </w:pPr>
      <w:r w:rsidDel="00000000" w:rsidR="00000000" w:rsidRPr="00000000">
        <w:rPr>
          <w:sz w:val="24"/>
          <w:szCs w:val="24"/>
          <w:rtl w:val="0"/>
        </w:rPr>
        <w:t xml:space="preserve">ISO/IEC/IEEE. (2018). </w:t>
      </w:r>
      <w:r w:rsidDel="00000000" w:rsidR="00000000" w:rsidRPr="00000000">
        <w:rPr>
          <w:i w:val="1"/>
          <w:iCs w:val="1"/>
          <w:sz w:val="24"/>
          <w:szCs w:val="24"/>
          <w:rtl w:val="0"/>
        </w:rPr>
        <w:t xml:space="preserve">Systems and software engineering: Life cycle processes: Requirements engineering </w:t>
      </w:r>
      <w:r w:rsidDel="00000000" w:rsidR="00000000" w:rsidRPr="00000000">
        <w:rPr>
          <w:sz w:val="24"/>
          <w:szCs w:val="24"/>
          <w:rtl w:val="0"/>
        </w:rPr>
        <w:t xml:space="preserve">(ISO/IEC/IEEE 29148:2018).</w:t>
      </w:r>
    </w:p>
    <w:p w:rsidR="00000000" w:rsidDel="00000000" w:rsidP="00000000" w:rsidRDefault="00000000" w:rsidRPr="00000000" w14:paraId="0000004E">
      <w:pPr>
        <w:spacing w:before="0" w:lineRule="auto"/>
        <w:ind w:left="360" w:right="0" w:firstLine="0"/>
        <w:jc w:val="left"/>
        <w:rPr>
          <w:i w:val="1"/>
          <w:iCs w:val="1"/>
          <w:sz w:val="24"/>
          <w:szCs w:val="24"/>
        </w:rPr>
      </w:pPr>
      <w:r w:rsidDel="00000000" w:rsidR="00000000" w:rsidRPr="00000000">
        <w:rPr>
          <w:sz w:val="24"/>
          <w:szCs w:val="24"/>
          <w:rtl w:val="0"/>
        </w:rPr>
        <w:t xml:space="preserve">ISO. (2020). </w:t>
      </w:r>
      <w:r w:rsidDel="00000000" w:rsidR="00000000" w:rsidRPr="00000000">
        <w:rPr>
          <w:i w:val="1"/>
          <w:iCs w:val="1"/>
          <w:sz w:val="24"/>
          <w:szCs w:val="24"/>
          <w:rtl w:val="0"/>
        </w:rPr>
        <w:t xml:space="preserve">Project, programme and portfolio management: Guidance on project management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21502:2020).</w:t>
      </w:r>
    </w:p>
    <w:p w:rsidR="00000000" w:rsidDel="00000000" w:rsidP="00000000" w:rsidRDefault="00000000" w:rsidRPr="00000000" w14:paraId="00000050">
      <w:pPr>
        <w:spacing w:before="136" w:line="360" w:lineRule="auto"/>
        <w:ind w:left="1080" w:right="400" w:hanging="720"/>
        <w:jc w:val="left"/>
        <w:rPr>
          <w:sz w:val="24"/>
          <w:szCs w:val="24"/>
        </w:rPr>
      </w:pPr>
      <w:r w:rsidDel="00000000" w:rsidR="00000000" w:rsidRPr="00000000">
        <w:rPr>
          <w:sz w:val="24"/>
          <w:szCs w:val="24"/>
          <w:rtl w:val="0"/>
        </w:rPr>
        <w:t xml:space="preserve">Kelley, J. E., Jr., &amp; Walker, M. R. (1959). Critical-path planning and scheduling. </w:t>
      </w:r>
      <w:r w:rsidDel="00000000" w:rsidR="00000000" w:rsidRPr="00000000">
        <w:rPr>
          <w:i w:val="1"/>
          <w:iCs w:val="1"/>
          <w:sz w:val="24"/>
          <w:szCs w:val="24"/>
          <w:rtl w:val="0"/>
        </w:rPr>
        <w:t xml:space="preserve">Proceedings of the Eastern Joint Computer Conference</w:t>
      </w:r>
      <w:r w:rsidDel="00000000" w:rsidR="00000000" w:rsidRPr="00000000">
        <w:rPr>
          <w:sz w:val="24"/>
          <w:szCs w:val="24"/>
          <w:rtl w:val="0"/>
        </w:rPr>
        <w:t xml:space="preserve">, 160-173.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MacCrimmon, K. R., &amp; Ryavec, C. A. (1964). An analytical study of the PERT assumptions.</w:t>
      </w:r>
    </w:p>
    <w:p w:rsidR="00000000" w:rsidDel="00000000" w:rsidP="00000000" w:rsidRDefault="00000000" w:rsidRPr="00000000" w14:paraId="00000052">
      <w:pPr>
        <w:spacing w:before="140" w:lineRule="auto"/>
        <w:ind w:left="1080" w:right="0" w:firstLine="0"/>
        <w:jc w:val="left"/>
        <w:rPr>
          <w:sz w:val="24"/>
          <w:szCs w:val="24"/>
        </w:rPr>
      </w:pPr>
      <w:r w:rsidDel="00000000" w:rsidR="00000000" w:rsidRPr="00000000">
        <w:rPr>
          <w:i w:val="1"/>
          <w:iCs w:val="1"/>
          <w:sz w:val="24"/>
          <w:szCs w:val="24"/>
          <w:rtl w:val="0"/>
        </w:rPr>
        <w:t xml:space="preserve">Operations Research, 12</w:t>
      </w:r>
      <w:r w:rsidDel="00000000" w:rsidR="00000000" w:rsidRPr="00000000">
        <w:rPr>
          <w:sz w:val="24"/>
          <w:szCs w:val="24"/>
          <w:rtl w:val="0"/>
        </w:rPr>
        <w:t xml:space="preserve">(1), 16-37.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080" w:right="40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Malcolm, D. G., Roseboom, J. H., Clark, C. E., &amp; Fazar, W. (1959). Application of a technique for research and development program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Operations Research,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646-669.</w:t>
      </w:r>
    </w:p>
    <w:p w:rsidR="00000000" w:rsidDel="00000000" w:rsidP="00000000" w:rsidRDefault="00000000" w:rsidRPr="00000000" w14:paraId="00000054">
      <w:pPr>
        <w:spacing w:before="1" w:lineRule="auto"/>
        <w:ind w:left="360" w:right="0" w:firstLine="0"/>
        <w:jc w:val="left"/>
        <w:rPr>
          <w:sz w:val="24"/>
          <w:szCs w:val="24"/>
        </w:rPr>
        <w:sectPr>
          <w:footerReference r:id="rId9" w:type="default"/>
          <w:type w:val="nextPage"/>
          <w:pgSz w:h="15840" w:w="12240" w:orient="portrait"/>
          <w:pgMar w:bottom="920" w:top="1640" w:left="1080" w:right="1080" w:header="0" w:footer="688"/>
        </w:sectPr>
      </w:pPr>
      <w:r w:rsidDel="00000000" w:rsidR="00000000" w:rsidRPr="00000000">
        <w:rPr>
          <w:sz w:val="24"/>
          <w:szCs w:val="24"/>
          <w:rtl w:val="0"/>
        </w:rPr>
        <w:t xml:space="preserve">Ohno, T. (1988). </w:t>
      </w:r>
      <w:r w:rsidDel="00000000" w:rsidR="00000000" w:rsidRPr="00000000">
        <w:rPr>
          <w:i w:val="1"/>
          <w:iCs w:val="1"/>
          <w:sz w:val="24"/>
          <w:szCs w:val="24"/>
          <w:rtl w:val="0"/>
        </w:rPr>
        <w:t xml:space="preserve">Toyota production system: Beyond large-scale production</w:t>
      </w:r>
      <w:r w:rsidDel="00000000" w:rsidR="00000000" w:rsidRPr="00000000">
        <w:rPr>
          <w:sz w:val="24"/>
          <w:szCs w:val="24"/>
          <w:rtl w:val="0"/>
        </w:rPr>
        <w:t xml:space="preserve">. Productivity Press.</w:t>
      </w:r>
    </w:p>
    <w:p w:rsidR="00000000" w:rsidDel="00000000" w:rsidP="00000000" w:rsidRDefault="00000000" w:rsidRPr="00000000" w14:paraId="00000055">
      <w:pPr>
        <w:spacing w:before="79" w:line="360" w:lineRule="auto"/>
        <w:ind w:left="1080" w:right="532" w:hanging="720"/>
        <w:jc w:val="left"/>
        <w:rPr>
          <w:sz w:val="24"/>
          <w:szCs w:val="24"/>
        </w:rPr>
      </w:pPr>
      <w:r w:rsidDel="00000000" w:rsidR="00000000" w:rsidRPr="00000000">
        <w:rPr>
          <w:sz w:val="24"/>
          <w:szCs w:val="24"/>
          <w:rtl w:val="0"/>
        </w:rPr>
        <w:t xml:space="preserve">Phaal, R., Farrukh, C. J. P., &amp; Probert, D. R. (2004). Technology roadmapping: A planning framework for evolution and revolution. </w:t>
      </w:r>
      <w:r w:rsidDel="00000000" w:rsidR="00000000" w:rsidRPr="00000000">
        <w:rPr>
          <w:i w:val="1"/>
          <w:iCs w:val="1"/>
          <w:sz w:val="24"/>
          <w:szCs w:val="24"/>
          <w:rtl w:val="0"/>
        </w:rPr>
        <w:t xml:space="preserve">Technological Forecasting and Social Change, 71</w:t>
      </w:r>
      <w:r w:rsidDel="00000000" w:rsidR="00000000" w:rsidRPr="00000000">
        <w:rPr>
          <w:sz w:val="24"/>
          <w:szCs w:val="24"/>
          <w:rtl w:val="0"/>
        </w:rPr>
        <w:t xml:space="preserve">(1-2), 5-26.</w:t>
      </w:r>
    </w:p>
    <w:p w:rsidR="00000000" w:rsidDel="00000000" w:rsidP="00000000" w:rsidRDefault="00000000" w:rsidRPr="00000000" w14:paraId="00000056">
      <w:pPr>
        <w:spacing w:before="0" w:line="360" w:lineRule="auto"/>
        <w:ind w:left="1080" w:right="532" w:hanging="720"/>
        <w:jc w:val="left"/>
        <w:rPr>
          <w:sz w:val="24"/>
          <w:szCs w:val="24"/>
        </w:rPr>
      </w:pPr>
      <w:r w:rsidDel="00000000" w:rsidR="00000000" w:rsidRPr="00000000">
        <w:rPr>
          <w:sz w:val="24"/>
          <w:szCs w:val="24"/>
          <w:rtl w:val="0"/>
        </w:rPr>
        <w:t xml:space="preserve">Project Management Institute. (2019). </w:t>
      </w:r>
      <w:r w:rsidDel="00000000" w:rsidR="00000000" w:rsidRPr="00000000">
        <w:rPr>
          <w:i w:val="1"/>
          <w:iCs w:val="1"/>
          <w:sz w:val="24"/>
          <w:szCs w:val="24"/>
          <w:rtl w:val="0"/>
        </w:rPr>
        <w:t xml:space="preserve">Practice standard for work breakdown structures </w:t>
      </w:r>
      <w:r w:rsidDel="00000000" w:rsidR="00000000" w:rsidRPr="00000000">
        <w:rPr>
          <w:sz w:val="24"/>
          <w:szCs w:val="24"/>
          <w:rtl w:val="0"/>
        </w:rPr>
        <w:t xml:space="preserve">(3rd ed.).</w:t>
      </w:r>
    </w:p>
    <w:p w:rsidR="00000000" w:rsidDel="00000000" w:rsidP="00000000" w:rsidRDefault="00000000" w:rsidRPr="00000000" w14:paraId="00000057">
      <w:pPr>
        <w:spacing w:before="0" w:line="360" w:lineRule="auto"/>
        <w:ind w:left="1080" w:right="400" w:hanging="720"/>
        <w:jc w:val="left"/>
        <w:rPr>
          <w:sz w:val="24"/>
          <w:szCs w:val="24"/>
        </w:rPr>
      </w:pPr>
      <w:r w:rsidDel="00000000" w:rsidR="00000000" w:rsidRPr="00000000">
        <w:rPr>
          <w:sz w:val="24"/>
          <w:szCs w:val="24"/>
          <w:rtl w:val="0"/>
        </w:rPr>
        <w:t xml:space="preserve">Royce, W. W. (1970). Managing the development of large software systems. </w:t>
      </w:r>
      <w:r w:rsidDel="00000000" w:rsidR="00000000" w:rsidRPr="00000000">
        <w:rPr>
          <w:i w:val="1"/>
          <w:iCs w:val="1"/>
          <w:sz w:val="24"/>
          <w:szCs w:val="24"/>
          <w:rtl w:val="0"/>
        </w:rPr>
        <w:t xml:space="preserve">Proceedings of IEEE WESCON</w:t>
      </w:r>
      <w:r w:rsidDel="00000000" w:rsidR="00000000" w:rsidRPr="00000000">
        <w:rPr>
          <w:sz w:val="24"/>
          <w:szCs w:val="24"/>
          <w:rtl w:val="0"/>
        </w:rPr>
        <w:t xml:space="preserve">, 1-9.</w:t>
      </w:r>
    </w:p>
    <w:p w:rsidR="00000000" w:rsidDel="00000000" w:rsidP="00000000" w:rsidRDefault="00000000" w:rsidRPr="00000000" w14:paraId="00000058">
      <w:pPr>
        <w:spacing w:before="0" w:line="360" w:lineRule="auto"/>
        <w:ind w:left="1080" w:right="400" w:hanging="720"/>
        <w:jc w:val="left"/>
        <w:rPr>
          <w:sz w:val="24"/>
          <w:szCs w:val="24"/>
        </w:rPr>
      </w:pPr>
      <w:r w:rsidDel="00000000" w:rsidR="00000000" w:rsidRPr="00000000">
        <w:rPr>
          <w:sz w:val="24"/>
          <w:szCs w:val="24"/>
          <w:rtl w:val="0"/>
        </w:rPr>
        <w:t xml:space="preserve">Serrador, P., &amp; Pinto, J. K. (2015). Does agile work? A quantitative analysis of agile project success. </w:t>
      </w:r>
      <w:r w:rsidDel="00000000" w:rsidR="00000000" w:rsidRPr="00000000">
        <w:rPr>
          <w:i w:val="1"/>
          <w:iCs w:val="1"/>
          <w:sz w:val="24"/>
          <w:szCs w:val="24"/>
          <w:rtl w:val="0"/>
        </w:rPr>
        <w:t xml:space="preserve">International Journal of Project Management, 33</w:t>
      </w:r>
      <w:r w:rsidDel="00000000" w:rsidR="00000000" w:rsidRPr="00000000">
        <w:rPr>
          <w:sz w:val="24"/>
          <w:szCs w:val="24"/>
          <w:rtl w:val="0"/>
        </w:rPr>
        <w:t xml:space="preserve">(5), 1040-1051.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40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5840" w:w="12240" w:orient="portrait"/>
          <w:pgMar w:bottom="920" w:top="1360" w:left="1080" w:right="1080" w:header="0" w:footer="68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Vacanti, D., &amp; Coleman, A. (2020).</w:t>
      </w:r>
    </w:p>
    <w:p w:rsidR="00000000" w:rsidDel="00000000" w:rsidP="00000000" w:rsidRDefault="00000000" w:rsidRPr="00000000" w14:paraId="0000005A">
      <w:pPr>
        <w:pStyle w:val="Heading1"/>
        <w:spacing w:before="76" w:lineRule="auto"/>
        <w:ind w:left="0" w:right="1" w:firstLine="0"/>
        <w:jc w:val="center"/>
        <w:rPr/>
      </w:pPr>
      <w:r w:rsidDel="00000000" w:rsidR="00000000" w:rsidRPr="00000000">
        <w:rPr>
          <w:rtl w:val="0"/>
        </w:rPr>
        <w:t xml:space="preserve">Anexos</w:t>
      </w:r>
    </w:p>
    <w:p w:rsidR="00000000" w:rsidDel="00000000" w:rsidP="00000000" w:rsidRDefault="00000000" w:rsidRPr="00000000" w14:paraId="0000005B">
      <w:pPr>
        <w:pStyle w:val="Heading2"/>
        <w:spacing w:before="238" w:lineRule="auto"/>
        <w:ind w:firstLine="360"/>
        <w:jc w:val="left"/>
        <w:rPr/>
      </w:pPr>
      <w:r w:rsidDel="00000000" w:rsidR="00000000" w:rsidRPr="00000000">
        <w:rPr>
          <w:rtl w:val="0"/>
        </w:rPr>
        <w:t xml:space="preserve">Anexo A. Matriz analítica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9363.0" w:type="dxa"/>
        <w:jc w:val="left"/>
        <w:tblInd w:w="369.0" w:type="dxa"/>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000"/>
      </w:tblPr>
      <w:tblGrid>
        <w:gridCol w:w="701"/>
        <w:gridCol w:w="2499"/>
        <w:gridCol w:w="2062"/>
        <w:gridCol w:w="1700"/>
        <w:gridCol w:w="2401"/>
        <w:tblGridChange w:id="0">
          <w:tblGrid>
            <w:gridCol w:w="701"/>
            <w:gridCol w:w="2499"/>
            <w:gridCol w:w="2062"/>
            <w:gridCol w:w="1700"/>
            <w:gridCol w:w="2401"/>
          </w:tblGrid>
        </w:tblGridChange>
      </w:tblGrid>
      <w:tr>
        <w:trPr>
          <w:cantSplit w:val="0"/>
          <w:trHeight w:val="295" w:hRule="atLeast"/>
          <w:tblHeader w:val="0"/>
        </w:trPr>
        <w:tc>
          <w:tcPr>
            <w:tcBorders>
              <w:left w:color="999999" w:space="0" w:sz="4" w:val="single"/>
              <w:bottom w:color="999999" w:space="0" w:sz="4" w:val="single"/>
              <w:right w:color="999999" w:space="0" w:sz="4" w:val="single"/>
            </w:tcBorders>
            <w:shd w:fill="d8e2f2"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w:t>
            </w:r>
          </w:p>
        </w:tc>
        <w:tc>
          <w:tcPr>
            <w:tcBorders>
              <w:left w:color="999999" w:space="0" w:sz="4" w:val="single"/>
              <w:bottom w:color="999999" w:space="0" w:sz="4" w:val="single"/>
              <w:right w:color="999999" w:space="0" w:sz="4" w:val="single"/>
            </w:tcBorders>
            <w:shd w:fill="d8e2f2"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9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Autores</w:t>
            </w:r>
          </w:p>
        </w:tc>
        <w:tc>
          <w:tcPr>
            <w:tcBorders>
              <w:left w:color="999999" w:space="0" w:sz="4" w:val="single"/>
              <w:bottom w:color="999999" w:space="0" w:sz="4" w:val="single"/>
              <w:right w:color="999999" w:space="0" w:sz="4" w:val="single"/>
            </w:tcBorders>
            <w:shd w:fill="d8e2f2"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9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Aporte clave</w:t>
            </w:r>
          </w:p>
        </w:tc>
        <w:tc>
          <w:tcPr>
            <w:tcBorders>
              <w:left w:color="999999" w:space="0" w:sz="4" w:val="single"/>
              <w:bottom w:color="999999" w:space="0" w:sz="4" w:val="single"/>
              <w:right w:color="999999" w:space="0" w:sz="4" w:val="single"/>
            </w:tcBorders>
            <w:shd w:fill="d8e2f2"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9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Limitación</w:t>
            </w:r>
          </w:p>
        </w:tc>
        <w:tc>
          <w:tcPr>
            <w:tcBorders>
              <w:left w:color="999999" w:space="0" w:sz="4" w:val="single"/>
              <w:bottom w:color="999999" w:space="0" w:sz="4" w:val="single"/>
              <w:right w:color="999999" w:space="0" w:sz="4" w:val="single"/>
            </w:tcBorders>
            <w:shd w:fill="d8e2f2"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9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Uso en mi proyecto</w:t>
            </w:r>
          </w:p>
        </w:tc>
      </w:tr>
      <w:tr>
        <w:trPr>
          <w:cantSplit w:val="0"/>
          <w:trHeight w:val="618"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 w:right="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Royce; Beck et al.; Serrador y Pinto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Planificar lo costoso, iterar lo cambiante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Falsas dicotomías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 w:right="11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rígido, consola ágil</w:t>
            </w:r>
          </w:p>
        </w:tc>
      </w:tr>
      <w:tr>
        <w:trPr>
          <w:cantSplit w:val="0"/>
          <w:trHeight w:val="851"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9"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ISO 29148; Cohn; PMI;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Clegg y Barker; Achimugu et al.</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9" w:right="31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Requisitos verificables, alcance acotado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7" w:right="33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Subjetividad de MoSCoW</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EDT para persistencia, MoSCoW para vistas</w:t>
            </w:r>
          </w:p>
        </w:tc>
      </w:tr>
      <w:tr>
        <w:trPr>
          <w:cantSplit w:val="0"/>
          <w:trHeight w:val="131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 w:right="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Gantt; Kelley y Walker; Malcolm et al.; MacCrimmon y Ryavec; Buehler et al.; Flyvbjerg; Brooks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68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Dependencias e incertidumbre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Sesgo optimista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CPM con colchones</w:t>
            </w:r>
          </w:p>
        </w:tc>
      </w:tr>
      <w:tr>
        <w:trPr>
          <w:cantSplit w:val="0"/>
          <w:trHeight w:val="849"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ISO 21502; Ohno;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Anderson; Vacanti y Coleman; Phaal et al.; Cohn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y flujo medible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Rigidez o falta de fechas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 w:right="37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estructural + Kanban</w:t>
            </w:r>
          </w:p>
        </w:tc>
      </w:tr>
    </w:tbl>
    <w:p w:rsidR="00000000" w:rsidDel="00000000" w:rsidP="00000000" w:rsidRDefault="00000000" w:rsidRPr="00000000" w14:paraId="00000078">
      <w:pPr>
        <w:pStyle w:val="Heading2"/>
        <w:spacing w:before="226" w:lineRule="auto"/>
        <w:ind w:firstLine="360"/>
        <w:jc w:val="left"/>
        <w:rPr/>
      </w:pPr>
      <w:r w:rsidDel="00000000" w:rsidR="00000000" w:rsidRPr="00000000">
        <w:rPr>
          <w:rtl w:val="0"/>
        </w:rPr>
        <w:t xml:space="preserve">Anexo B. Mapa de cobertura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360.0" w:type="dxa"/>
        <w:jc w:val="left"/>
        <w:tblInd w:w="369.0" w:type="dxa"/>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000"/>
      </w:tblPr>
      <w:tblGrid>
        <w:gridCol w:w="4680"/>
        <w:gridCol w:w="4680"/>
        <w:tblGridChange w:id="0">
          <w:tblGrid>
            <w:gridCol w:w="4680"/>
            <w:gridCol w:w="4680"/>
          </w:tblGrid>
        </w:tblGridChange>
      </w:tblGrid>
      <w:tr>
        <w:trPr>
          <w:cantSplit w:val="0"/>
          <w:trHeight w:val="294" w:hRule="atLeast"/>
          <w:tblHeader w:val="0"/>
        </w:trPr>
        <w:tc>
          <w:tcPr>
            <w:tcBorders>
              <w:left w:color="999999" w:space="0" w:sz="4" w:val="single"/>
              <w:bottom w:color="999999" w:space="0" w:sz="4" w:val="single"/>
              <w:right w:color="999999" w:space="0" w:sz="4" w:val="single"/>
            </w:tcBorders>
            <w:shd w:fill="d8e2f2"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Dentro del alcance</w:t>
            </w:r>
          </w:p>
        </w:tc>
        <w:tc>
          <w:tcPr>
            <w:tcBorders>
              <w:left w:color="999999" w:space="0" w:sz="4" w:val="single"/>
              <w:bottom w:color="999999" w:space="0" w:sz="4" w:val="single"/>
              <w:right w:color="999999" w:space="0" w:sz="4" w:val="single"/>
            </w:tcBorders>
            <w:shd w:fill="d8e2f2"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Fuera del alcance</w:t>
            </w:r>
          </w:p>
        </w:tc>
      </w:tr>
      <w:tr>
        <w:trPr>
          <w:cantSplit w:val="0"/>
          <w:trHeight w:val="388"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Consola Web de Patio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Navegación GPS</w:t>
            </w:r>
          </w:p>
        </w:tc>
      </w:tr>
      <w:tr>
        <w:trPr>
          <w:cantSplit w:val="0"/>
          <w:trHeight w:val="39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 + PostGIS (núcleo transaccional)</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Aplicaciones móviles</w:t>
            </w:r>
          </w:p>
        </w:tc>
      </w:tr>
      <w:tr>
        <w:trPr>
          <w:cantSplit w:val="0"/>
          <w:trHeight w:val="39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Redis (caché, sesiones, bloqueos cortos)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Ruteo de unidades en carretera</w:t>
            </w:r>
          </w:p>
        </w:tc>
      </w:tr>
      <w:tr>
        <w:trPr>
          <w:cantSplit w:val="0"/>
          <w:trHeight w:val="434"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MongoDB (bitácoras y auditoría)</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6"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Protección de PII</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6">
      <w:pPr>
        <w:pStyle w:val="Heading2"/>
        <w:spacing w:before="228" w:lineRule="auto"/>
        <w:ind w:firstLine="360"/>
        <w:jc w:val="left"/>
        <w:rPr/>
      </w:pPr>
      <w:r w:rsidDel="00000000" w:rsidR="00000000" w:rsidRPr="00000000">
        <w:rPr>
          <w:rtl w:val="0"/>
        </w:rPr>
        <w:t xml:space="preserve">Anexo C. Declaración de uso de IA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360" w:right="4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Utilicé una herramienta de inteligencia artificial para apoyar la estructura, la revisión de redacción y la expansión de un borrador mío. El diagnóstico operativo, las observaciones de campo y las decisiones de arquitectura son mías.</w:t>
      </w:r>
    </w:p>
    <w:sectPr>
      <w:type w:val="nextPage"/>
      <w:pgSz w:h="15840" w:w="12240" w:orient="portrait"/>
      <w:pgMar w:bottom="920" w:top="1640" w:left="1080" w:right="1080" w:header="0" w:footer="6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3100134</wp:posOffset>
              </wp:positionH>
              <wp:positionV relativeFrom="paragraph">
                <wp:posOffset>-44603</wp:posOffset>
              </wp:positionV>
              <wp:extent cx="263525" cy="175260"/>
              <wp:effectExtent b="0" l="0" r="0" t="0"/>
              <wp:wrapNone/>
              <wp:docPr id="2" name=""/>
              <a:graphic>
                <a:graphicData uri="http://schemas.microsoft.com/office/word/2010/wordprocessingShape">
                  <wps:wsp>
                    <wps:cNvSpPr/>
                    <wps:cNvPr id="3" name="Shape 3"/>
                    <wps:spPr>
                      <a:xfrm>
                        <a:off x="5219000" y="3697133"/>
                        <a:ext cx="254000" cy="165735"/>
                      </a:xfrm>
                      <a:prstGeom prst="rect">
                        <a:avLst/>
                      </a:prstGeom>
                      <a:noFill/>
                      <a:ln>
                        <a:noFill/>
                      </a:ln>
                    </wps:spPr>
                    <wps:txbx>
                      <w:txbxContent>
                        <w:p w:rsidR="00000000" w:rsidDel="00000000" w:rsidP="00000000" w:rsidRDefault="00000000" w:rsidRPr="00000000">
                          <w:pPr>
                            <w:spacing w:after="0" w:before="10"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3100134</wp:posOffset>
              </wp:positionH>
              <wp:positionV relativeFrom="paragraph">
                <wp:posOffset>-44603</wp:posOffset>
              </wp:positionV>
              <wp:extent cx="263525"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6352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3118929</wp:posOffset>
              </wp:positionH>
              <wp:positionV relativeFrom="paragraph">
                <wp:posOffset>-44603</wp:posOffset>
              </wp:positionV>
              <wp:extent cx="162560" cy="175260"/>
              <wp:effectExtent b="0" l="0" r="0" t="0"/>
              <wp:wrapNone/>
              <wp:docPr id="1" name=""/>
              <a:graphic>
                <a:graphicData uri="http://schemas.microsoft.com/office/word/2010/wordprocessingShape">
                  <wps:wsp>
                    <wps:cNvSpPr/>
                    <wps:cNvPr id="2" name="Shape 2"/>
                    <wps:spPr>
                      <a:xfrm>
                        <a:off x="5269483" y="3697133"/>
                        <a:ext cx="15303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3118929</wp:posOffset>
              </wp:positionH>
              <wp:positionV relativeFrom="paragraph">
                <wp:posOffset>-44603</wp:posOffset>
              </wp:positionV>
              <wp:extent cx="162560" cy="1752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2560"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3118929</wp:posOffset>
              </wp:positionH>
              <wp:positionV relativeFrom="paragraph">
                <wp:posOffset>-44603</wp:posOffset>
              </wp:positionV>
              <wp:extent cx="276860" cy="175260"/>
              <wp:effectExtent b="0" l="0" r="0" t="0"/>
              <wp:wrapNone/>
              <wp:docPr id="3" name=""/>
              <a:graphic>
                <a:graphicData uri="http://schemas.microsoft.com/office/word/2010/wordprocessingShape">
                  <wps:wsp>
                    <wps:cNvSpPr/>
                    <wps:cNvPr id="4" name="Shape 4"/>
                    <wps:spPr>
                      <a:xfrm>
                        <a:off x="5212333" y="3697133"/>
                        <a:ext cx="26733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3118929</wp:posOffset>
              </wp:positionH>
              <wp:positionV relativeFrom="paragraph">
                <wp:posOffset>-44603</wp:posOffset>
              </wp:positionV>
              <wp:extent cx="276860" cy="17526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7686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563"/>
      </w:pPr>
      <w:rPr/>
    </w:lvl>
    <w:lvl w:ilvl="1">
      <w:start w:val="2"/>
      <w:numFmt w:val="decimal"/>
      <w:lvlText w:val="%1.%2"/>
      <w:lvlJc w:val="left"/>
      <w:pPr>
        <w:ind w:left="360" w:hanging="563"/>
      </w:pPr>
      <w:rPr/>
    </w:lvl>
    <w:lvl w:ilvl="2">
      <w:start w:val="1"/>
      <w:numFmt w:val="decimal"/>
      <w:lvlText w:val="%1.%2.%3"/>
      <w:lvlJc w:val="left"/>
      <w:pPr>
        <w:ind w:left="360" w:hanging="563"/>
      </w:pPr>
      <w:rPr>
        <w:rFonts w:ascii="Times New Roman" w:cs="Times New Roman" w:eastAsia="Times New Roman" w:hAnsi="Times New Roman"/>
        <w:b w:val="1"/>
        <w:bCs w:val="1"/>
        <w:i w:val="0"/>
        <w:iCs w:val="0"/>
        <w:sz w:val="24"/>
        <w:szCs w:val="24"/>
      </w:rPr>
    </w:lvl>
    <w:lvl w:ilvl="3">
      <w:start w:val="0"/>
      <w:numFmt w:val="bullet"/>
      <w:lvlText w:val="•"/>
      <w:lvlJc w:val="left"/>
      <w:pPr>
        <w:ind w:left="3276" w:hanging="563"/>
      </w:pPr>
      <w:rPr/>
    </w:lvl>
    <w:lvl w:ilvl="4">
      <w:start w:val="0"/>
      <w:numFmt w:val="bullet"/>
      <w:lvlText w:val="•"/>
      <w:lvlJc w:val="left"/>
      <w:pPr>
        <w:ind w:left="4248" w:hanging="563"/>
      </w:pPr>
      <w:rPr/>
    </w:lvl>
    <w:lvl w:ilvl="5">
      <w:start w:val="0"/>
      <w:numFmt w:val="bullet"/>
      <w:lvlText w:val="•"/>
      <w:lvlJc w:val="left"/>
      <w:pPr>
        <w:ind w:left="5220" w:hanging="563"/>
      </w:pPr>
      <w:rPr/>
    </w:lvl>
    <w:lvl w:ilvl="6">
      <w:start w:val="0"/>
      <w:numFmt w:val="bullet"/>
      <w:lvlText w:val="•"/>
      <w:lvlJc w:val="left"/>
      <w:pPr>
        <w:ind w:left="6192" w:hanging="562.9999999999991"/>
      </w:pPr>
      <w:rPr/>
    </w:lvl>
    <w:lvl w:ilvl="7">
      <w:start w:val="0"/>
      <w:numFmt w:val="bullet"/>
      <w:lvlText w:val="•"/>
      <w:lvlJc w:val="left"/>
      <w:pPr>
        <w:ind w:left="7164" w:hanging="563"/>
      </w:pPr>
      <w:rPr/>
    </w:lvl>
    <w:lvl w:ilvl="8">
      <w:start w:val="0"/>
      <w:numFmt w:val="bullet"/>
      <w:lvlText w:val="•"/>
      <w:lvlJc w:val="left"/>
      <w:pPr>
        <w:ind w:left="8136" w:hanging="562.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79" w:lineRule="auto"/>
      <w:ind w:left="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spacing w:before="79" w:lineRule="auto"/>
      <w:ind w:left="360"/>
      <w:jc w:val="both"/>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415" w:right="428" w:firstLine="2.9999999999999716"/>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2026-10-19T00:00:00Z</vt:lpwstr>
  </property>
  <property fmtid="{D5CDD505-2E9C-101B-9397-08002B2CF9AE}" pid="4" name="LastSaved">
    <vt:lpwstr>2026-10-20T00:00:00Z</vt:lpwstr>
  </property>
  <property fmtid="{D5CDD505-2E9C-101B-9397-08002B2CF9AE}" pid="5" name="Producer">
    <vt:lpwstr>Microsoft: Print To PDF</vt:lpwstr>
  </property>
</Properties>
</file>