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1"/>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2"/>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SDXL</w:t>
            </w:r>
          </w:p>
        </w:tc>
        <w:tc>
          <w:tcPr>
            <w:tcW w:type="dxa" w:w="7087"/>
          </w:tcPr>
          <w:p>
            <w:r>
              <w:rPr>
                <w:rFonts w:ascii="Times New Roman" w:hAnsi="Times New Roman" w:eastAsia="Times New Roman"/>
                <w:b w:val="0"/>
                <w:i w:val="0"/>
                <w:sz w:val="24"/>
              </w:rPr>
              <w:t>Stable Diffusion XL — mô hình sinh ảnh từ văn bản</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3"/>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để duy trì chất lượng mã nguồn và tài liệu trong suốt quá trình phát triển.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Phạm vi triển khai hiện tại của đồ án giới hạn theo hai chiều: không gian và đối tượng. Về không gian, hệ thống triển khai cloud trên AWS Singapore (ap-southeast-1) Free Tier, phục vụ nhóm trung tâm giáo dục thương mại tại Việt Nam (Hà Nội, TP. Hồ Chí Minh và các tỉnh lân cận), với hai giáo viên độc lập (một dùng gói miễn phí, một dùng gói trả phí)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thuộc lộ trình phát triển sau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phát triển hướng kiểm thử (TDD — Test-Driven Development, theo Beck 2002), thiết kế hướng miền (DDD — Domain-Driven Design, theo Evans 2003) và chu trình cải tiến liên tục Plan-Do-Check-Act (PDCA, theo Deming 1986) — tích hợp trong toàn bộ quy trình phát triển nhằm duy trì chất lượng mã nguồn và tài liệu.</w:t>
      </w:r>
    </w:p>
    <w:p>
      <w:pPr>
        <w:pStyle w:val="Heading2"/>
      </w:pPr>
      <w:r>
        <w:rPr>
          <w:rFonts w:ascii="Times New Roman" w:hAnsi="Times New Roman" w:eastAsia="Times New Roman"/>
          <w:b/>
          <w:color w:val="000000"/>
          <w:sz w:val="32"/>
        </w:rPr>
        <w:t>5.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thiết kế kiến trúc tổng thể với mô hình C4 (sơ đồ ngữ cảnh và sơ đồ container), kiến trúc đa tenant single-bucket kết hợp Row-Level Security và phòng thủ chiều sâu năm lớp; thiết kế chi tiết gồm sơ đồ lớp, sơ đồ quan hệ thực thể (ERD), sơ đồ tuần tự, máy trạng thái vòng đời tenant, thiết kế cơ sở dữ liệu và mô hình gói dịch vụ.</w:t>
      </w:r>
    </w:p>
    <w:p>
      <w:pPr>
        <w:pStyle w:val="ListBullet"/>
        <w:spacing w:line="288" w:lineRule="auto"/>
        <w:ind w:left="850" w:hanging="283"/>
      </w:pPr>
      <w:r>
        <w:rPr>
          <w:rFonts w:ascii="Times New Roman" w:hAnsi="Times New Roman" w:eastAsia="Times New Roman"/>
          <w:b w:val="0"/>
          <w:i w:val="0"/>
          <w:sz w:val="26"/>
        </w:rPr>
        <w:t>Chương 3 — Triển khai sản phẩm và kiểm thử hệ thống: công nghệ và công cụ sử dụng, kết quả triển khai giao diện sản phẩm theo ba luồng nghiệp vụ,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Triển khai hạ tầng và kết quả vận hành: triển khai cloud AWS với CI/CD, cấu hình Cloudflare biên, ước tính chi phí, trạng thái triển khai hiện tại và kết quả tương tác người dùng cuối kèm minh chứng sản phẩm.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khảo sát các hệ thống tham khảo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sở hữu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quy trình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đơn tenant (single-tenant) — mỗi khách hàng có một instance cơ sở dữ liệu riêng, khó mở rộng khi trung tâm mở chi nhánh thứ năm trở lên; chưa có tính năng tự sinh tài nguyên thương hiệu bằng AI; quy trình khởi tạo yêu cầu liên hệ bộ phận kinh doanh chứ chưa hoàn toàn tự phục vụ; mức giá tuy phải chăng hơn các sản phẩm hướng doanh nghiệp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1.1 đối chiếu trực tiếp bốn hệ thống tham khảo với hệ thống đề xuất trên các tiêu chí cạnh tranh cốt lõi: phân khúc mục tiêu, khoảng giá, kiến trúc đa tenant, mức độ tự động hóa và khả năng tuân thủ pháp luật Việt Nam.</w:t>
      </w:r>
    </w:p>
    <w:p>
      <w:pPr>
        <w:pStyle w:val="BảngCaption"/>
        <w:spacing w:before="120" w:after="240"/>
        <w:jc w:val="center"/>
      </w:pPr>
      <w:r>
        <w:rPr>
          <w:rFonts w:ascii="Times New Roman" w:hAnsi="Times New Roman" w:eastAsia="Times New Roman"/>
          <w:b/>
          <w:sz w:val="26"/>
        </w:rPr>
        <w:t>Bảng 1.1</w:t>
      </w:r>
      <w:r>
        <w:rPr>
          <w:rFonts w:ascii="Times New Roman" w:hAnsi="Times New Roman" w:eastAsia="Times New Roman"/>
          <w:sz w:val="26"/>
        </w:rPr>
        <w:t>. So sánh bốn hệ thống tham khảo với hệ thống đề xuất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Phát triển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Phát triển sau</w:t>
            </w:r>
          </w:p>
        </w:tc>
      </w:tr>
      <w:tr>
        <w:tc>
          <w:tcPr>
            <w:tcW w:type="dxa" w:w="1440"/>
          </w:tcPr>
          <w:p>
            <w:r>
              <w:rPr>
                <w:sz w:val="24"/>
              </w:rPr>
            </w:r>
            <w:r>
              <w:rPr>
                <w:rFonts w:ascii="Times New Roman" w:hAnsi="Times New Roman" w:eastAsia="Times New Roman"/>
                <w:b w:val="0"/>
                <w:i w:val="0"/>
                <w:sz w:val="24"/>
              </w:rPr>
              <w:t>Tích hợp Zalo (OA + nhóm)</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Thanh toán tích hợp</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Có (VietQR + chuyển khoản)</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với cô lập ở mức cơ sở dữ liệu (mỗi tenant một schema riêng),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gốc sang lộ trình phát triển sau có rủi ro mất khách so với Mona eLMS và Easy Edu vốn đã có ứng dụng gốc — giải pháp giảm thiểu là giao diện web đáp ứng kết hợp kênh Zalo (OA và nhóm) đã được triển khai, ưu tiên ứng dụng di động gốc cho lộ trình phát triển sau. Cổng thanh toán cũng là điểm yếu khi DotB có sẵn ba cổng tích hợp — hệ thống đề xuất hiện tại sử dụng chuyển khoản ngân hàng kết hợp VietQR (không cần cổng), lộ trình phát triển sau bao gồm tích hợp cổng VNPay. Cuối cùng, nhận diện thương hiệu là rào cản khi Easy Edu và Mona eLMS có nhiều năm hiện diện thị trường trong khi hệ thống đề xuất mới ra mắt — giải pháp giảm thiểu là tiếp cận tăng trưởng dẫn dắt bởi sản phẩm, tiếp thị nội dung tiếng Việt và chương trình người dùng tiên phong với các trung tâm thử nghiệm.</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spacing w:line="288" w:lineRule="auto"/>
        <w:ind w:firstLine="567"/>
        <w:jc w:val="both"/>
      </w:pPr>
      <w:r>
        <w:rPr>
          <w:rFonts w:ascii="Times New Roman" w:hAnsi="Times New Roman" w:eastAsia="Times New Roman"/>
          <w:b w:val="0"/>
          <w:i w:val="0"/>
          <w:sz w:val="26"/>
        </w:rPr>
        <w:t>Lộ trình phát triển sau bao gồm các định hướng mở rộng cụ thể. Trước tiên, mở rộng nhóm tenant tham gia lên 30-50 trung tâm với chính sách thu phí giới thiệu thấp hơn giá niêm yết, mục đích chính là kiểm chứng mô hình giá ở quy mô lớn hơn. Tiếp theo, mở cho mọi trung tâm tự đăng ký không qua quy trình mời, đi kèm thỏa thuận mức dịch vụ (SLA — Service Level Agreement) cam kết thời gian hoạt động ≥99,5% và bổ sung kênh trò chuyện trực tuyến, ứng dụng di động gốc cho học viên và phụ huynh, đa cổng thanh toán tích hợp (VNPay, MoMo). Định hướng xa hơn là mở rộng sang khối phổ thông K-12 phục vụ trường công lập và tư thục cấp 1-2 với yêu cầu bổ nhiệm cán bộ bảo vệ dữ liệu (DPO — Data Protection Officer) chính thức, đánh giá tác động bảo vệ dữ liệu (DPIA — Data Protection Impact Assessment) cho dữ liệu trẻ em theo Luật Bảo vệ Dữ liệu Cá nhân Điều 17 và Điều 26, hợp tác với Bộ Giáo dục và Đào tạo cùng các sở phòng giáo dục địa phương cho phân phối.</w:t>
      </w:r>
    </w:p>
    <w:p>
      <w:pPr>
        <w:spacing w:line="288" w:lineRule="auto"/>
        <w:ind w:firstLine="567"/>
        <w:jc w:val="both"/>
      </w:pPr>
      <w:r>
        <w:rPr>
          <w:rFonts w:ascii="Times New Roman" w:hAnsi="Times New Roman" w:eastAsia="Times New Roman"/>
          <w:b w:val="0"/>
          <w:i w:val="0"/>
          <w:sz w:val="26"/>
        </w:rPr>
        <w:t>Việc tách phạm vi triển khai hiện tại khỏi lộ trình phát triển sau phù hợp với phương pháp luận sản phẩm tối giản khả thi (MVP — Minimum Viable Product) trong khởi nghiệp phần mềm — phát hành sản phẩm tối giản đáp ứng nhu cầu cốt lõi của nhóm người dùng đại diện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phạm vi hiện tại thủ công; tích hợp MoMo/VNPay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523745"/>
            <wp:docPr id="6" name="Picture 6"/>
            <wp:cNvGraphicFramePr>
              <a:graphicFrameLocks noChangeAspect="1"/>
            </wp:cNvGraphicFramePr>
            <a:graphic>
              <a:graphicData uri="http://schemas.openxmlformats.org/drawingml/2006/picture">
                <pic:pic>
                  <pic:nvPicPr>
                    <pic:cNvPr id="0" name="mermaid-12c182812741e49f.png"/>
                    <pic:cNvPicPr/>
                  </pic:nvPicPr>
                  <pic:blipFill>
                    <a:blip r:embed="rId14"/>
                    <a:stretch>
                      <a:fillRect/>
                    </a:stretch>
                  </pic:blipFill>
                  <pic:spPr>
                    <a:xfrm>
                      <a:off x="0" y="0"/>
                      <a:ext cx="5760000" cy="452374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hiện tại SMB của đồ án). Tổng điểm tối đa 30 (6 trục × 5 điểm). Rubric này </w:t>
      </w:r>
      <w:r>
        <w:rPr>
          <w:rFonts w:ascii="Times New Roman" w:hAnsi="Times New Roman" w:eastAsia="Times New Roman"/>
          <w:b/>
          <w:i w:val="0"/>
          <w:sz w:val="26"/>
        </w:rPr>
        <w:t>được xây dựng riêng</w:t>
      </w:r>
      <w:r>
        <w:rPr>
          <w:rFonts w:ascii="Times New Roman" w:hAnsi="Times New Roman" w:eastAsia="Times New Roman"/>
          <w:b w:val="0"/>
          <w:i w:val="0"/>
          <w:sz w:val="26"/>
        </w:rPr>
        <w:t xml:space="preserve"> cho ngữ cảnh trung tâm dạy thêm SMB hiện tại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hiện tại:</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Ma trận so sánh 6 pattern trên 6 trục (Pattern 4 đạt tổng 26/30 cho phạm vi hiện tại)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hiện tại</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hiện tại = 5:</w:t>
      </w:r>
      <w:r>
        <w:rPr>
          <w:rFonts w:ascii="Times New Roman" w:hAnsi="Times New Roman" w:eastAsia="Times New Roman"/>
          <w:b w:val="0"/>
          <w:i w:val="0"/>
          <w:sz w:val="26"/>
        </w:rPr>
        <w:t xml:space="preserve"> Tổng chi phí hạ tầng ≤$15/tháng (RDS Free Tier 12 tháng đầu, ECS Fargate Spot, S3 dưới 5GB), phù hợp quy mô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lộ trình phát triển sau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3102463"/>
            <wp:docPr id="9" name="Picture 9"/>
            <wp:cNvGraphicFramePr>
              <a:graphicFrameLocks noChangeAspect="1"/>
            </wp:cNvGraphicFramePr>
            <a:graphic>
              <a:graphicData uri="http://schemas.openxmlformats.org/drawingml/2006/picture">
                <pic:pic>
                  <pic:nvPicPr>
                    <pic:cNvPr id="0" name="mermaid-546493838d441fba.png"/>
                    <pic:cNvPicPr/>
                  </pic:nvPicPr>
                  <pic:blipFill>
                    <a:blip r:embed="rId17"/>
                    <a:stretch>
                      <a:fillRect/>
                    </a:stretch>
                  </pic:blipFill>
                  <pic:spPr>
                    <a:xfrm>
                      <a:off x="0" y="0"/>
                      <a:ext cx="5760000" cy="31024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3257252"/>
            <wp:docPr id="10" name="Picture 10"/>
            <wp:cNvGraphicFramePr>
              <a:graphicFrameLocks noChangeAspect="1"/>
            </wp:cNvGraphicFramePr>
            <a:graphic>
              <a:graphicData uri="http://schemas.openxmlformats.org/drawingml/2006/picture">
                <pic:pic>
                  <pic:nvPicPr>
                    <pic:cNvPr id="0" name="mermaid-6028ac03d5c472a5.png"/>
                    <pic:cNvPicPr/>
                  </pic:nvPicPr>
                  <pic:blipFill>
                    <a:blip r:embed="rId18"/>
                    <a:stretch>
                      <a:fillRect/>
                    </a:stretch>
                  </pic:blipFill>
                  <pic:spPr>
                    <a:xfrm>
                      <a:off x="0" y="0"/>
                      <a:ext cx="5760000" cy="325725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So sánh subdomain và tên miền riêng trong cơ chế định tuyến đa tenant</w:t>
      </w:r>
    </w:p>
    <w:p>
      <w:pPr>
        <w:spacing w:before="120" w:after="120"/>
        <w:jc w:val="center"/>
      </w:pPr>
      <w:r>
        <w:drawing>
          <wp:inline xmlns:a="http://schemas.openxmlformats.org/drawingml/2006/main" xmlns:pic="http://schemas.openxmlformats.org/drawingml/2006/picture">
            <wp:extent cx="5760000" cy="3944873"/>
            <wp:docPr id="12" name="Picture 12"/>
            <wp:cNvGraphicFramePr>
              <a:graphicFrameLocks noChangeAspect="1"/>
            </wp:cNvGraphicFramePr>
            <a:graphic>
              <a:graphicData uri="http://schemas.openxmlformats.org/drawingml/2006/picture">
                <pic:pic>
                  <pic:nvPicPr>
                    <pic:cNvPr id="0" name="mermaid-6d2e4b98901515e6.png"/>
                    <pic:cNvPicPr/>
                  </pic:nvPicPr>
                  <pic:blipFill>
                    <a:blip r:embed="rId20"/>
                    <a:stretch>
                      <a:fillRect/>
                    </a:stretch>
                  </pic:blipFill>
                  <pic:spPr>
                    <a:xfrm>
                      <a:off x="0" y="0"/>
                      <a:ext cx="5760000" cy="394487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3492050" cy="6480000"/>
            <wp:docPr id="13" name="Picture 13"/>
            <wp:cNvGraphicFramePr>
              <a:graphicFrameLocks noChangeAspect="1"/>
            </wp:cNvGraphicFramePr>
            <a:graphic>
              <a:graphicData uri="http://schemas.openxmlformats.org/drawingml/2006/picture">
                <pic:pic>
                  <pic:nvPicPr>
                    <pic:cNvPr id="0" name="mermaid-cfe5ec891d00c4b9.png"/>
                    <pic:cNvPicPr/>
                  </pic:nvPicPr>
                  <pic:blipFill>
                    <a:blip r:embed="rId21"/>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4" name="Picture 14"/>
            <wp:cNvGraphicFramePr>
              <a:graphicFrameLocks noChangeAspect="1"/>
            </wp:cNvGraphicFramePr>
            <a:graphic>
              <a:graphicData uri="http://schemas.openxmlformats.org/drawingml/2006/picture">
                <pic:pic>
                  <pic:nvPicPr>
                    <pic:cNvPr id="0" name="mermaid-f005980df8c8a241.png"/>
                    <pic:cNvPicPr/>
                  </pic:nvPicPr>
                  <pic:blipFill>
                    <a:blip r:embed="rId22"/>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2138412"/>
            <wp:docPr id="15" name="Picture 15"/>
            <wp:cNvGraphicFramePr>
              <a:graphicFrameLocks noChangeAspect="1"/>
            </wp:cNvGraphicFramePr>
            <a:graphic>
              <a:graphicData uri="http://schemas.openxmlformats.org/drawingml/2006/picture">
                <pic:pic>
                  <pic:nvPicPr>
                    <pic:cNvPr id="0" name="mermaid-6ee5ed10bb467ac7.png"/>
                    <pic:cNvPicPr/>
                  </pic:nvPicPr>
                  <pic:blipFill>
                    <a:blip r:embed="rId23"/>
                    <a:stretch>
                      <a:fillRect/>
                    </a:stretch>
                  </pic:blipFill>
                  <pic:spPr>
                    <a:xfrm>
                      <a:off x="0" y="0"/>
                      <a:ext cx="5760000" cy="213841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3293217"/>
            <wp:docPr id="16" name="Picture 16"/>
            <wp:cNvGraphicFramePr>
              <a:graphicFrameLocks noChangeAspect="1"/>
            </wp:cNvGraphicFramePr>
            <a:graphic>
              <a:graphicData uri="http://schemas.openxmlformats.org/drawingml/2006/picture">
                <pic:pic>
                  <pic:nvPicPr>
                    <pic:cNvPr id="0" name="mermaid-30e3cb94b9d091de.png"/>
                    <pic:cNvPicPr/>
                  </pic:nvPicPr>
                  <pic:blipFill>
                    <a:blip r:embed="rId24"/>
                    <a:stretch>
                      <a:fillRect/>
                    </a:stretch>
                  </pic:blipFill>
                  <pic:spPr>
                    <a:xfrm>
                      <a:off x="0" y="0"/>
                      <a:ext cx="5760000" cy="32932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188811" cy="6480000"/>
            <wp:docPr id="17" name="Picture 17"/>
            <wp:cNvGraphicFramePr>
              <a:graphicFrameLocks noChangeAspect="1"/>
            </wp:cNvGraphicFramePr>
            <a:graphic>
              <a:graphicData uri="http://schemas.openxmlformats.org/drawingml/2006/picture">
                <pic:pic>
                  <pic:nvPicPr>
                    <pic:cNvPr id="0" name="mermaid-3e2649c3cbb965e5.png"/>
                    <pic:cNvPicPr/>
                  </pic:nvPicPr>
                  <pic:blipFill>
                    <a:blip r:embed="rId25"/>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 xml:space="preserve">Phần này trình bày schema chi tiết của hai bảng cốt lõi đại diện cho hai mặt phẳng đa tenant của Kite Platform: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thuộc cụm subscription (control-plane, quản lý vòng đời tenant) và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thuộc cụm core (domain-plane, lưu hồ sơ học sinh và là bảng có yêu cầu tuân thủ PDPL chặt chẽ nhất). ERD tổng quan đã được giới thiệu tại §2.3.2; phần này bổ sung thông tin từng cột phục vụ phát triển và bảo trì. Schema được pull canonical từ chuỗi migration Flyway của hai cụm dịch vụ. Các bảng nghiệp vụ khác như </w:t>
      </w:r>
      <w:r>
        <w:rPr>
          <w:rFonts w:ascii="Times New Roman" w:hAnsi="Times New Roman" w:eastAsia="Times New Roman"/>
          <w:b w:val="0"/>
          <w:i/>
          <w:sz w:val="26"/>
        </w:rPr>
        <w:t>classes</w:t>
      </w:r>
      <w:r>
        <w:rPr>
          <w:rFonts w:ascii="Times New Roman" w:hAnsi="Times New Roman" w:eastAsia="Times New Roman"/>
          <w:b w:val="0"/>
          <w:i w:val="0"/>
          <w:sz w:val="26"/>
        </w:rPr>
        <w:t xml:space="preserve">, </w:t>
      </w:r>
      <w:r>
        <w:rPr>
          <w:rFonts w:ascii="Times New Roman" w:hAnsi="Times New Roman" w:eastAsia="Times New Roman"/>
          <w:b w:val="0"/>
          <w:i/>
          <w:sz w:val="26"/>
        </w:rPr>
        <w:t>courses</w:t>
      </w:r>
      <w:r>
        <w:rPr>
          <w:rFonts w:ascii="Times New Roman" w:hAnsi="Times New Roman" w:eastAsia="Times New Roman"/>
          <w:b w:val="0"/>
          <w:i w:val="0"/>
          <w:sz w:val="26"/>
        </w:rPr>
        <w:t xml:space="preserve">, </w:t>
      </w:r>
      <w:r>
        <w:rPr>
          <w:rFonts w:ascii="Times New Roman" w:hAnsi="Times New Roman" w:eastAsia="Times New Roman"/>
          <w:b w:val="0"/>
          <w:i/>
          <w:sz w:val="26"/>
        </w:rPr>
        <w:t>teachers</w:t>
      </w:r>
      <w:r>
        <w:rPr>
          <w:rFonts w:ascii="Times New Roman" w:hAnsi="Times New Roman" w:eastAsia="Times New Roman"/>
          <w:b w:val="0"/>
          <w:i w:val="0"/>
          <w:sz w:val="26"/>
        </w:rPr>
        <w:t xml:space="preserve">, </w:t>
      </w:r>
      <w:r>
        <w:rPr>
          <w:rFonts w:ascii="Times New Roman" w:hAnsi="Times New Roman" w:eastAsia="Times New Roman"/>
          <w:b w:val="0"/>
          <w:i/>
          <w:sz w:val="26"/>
        </w:rPr>
        <w:t>enrollments</w:t>
      </w:r>
      <w:r>
        <w:rPr>
          <w:rFonts w:ascii="Times New Roman" w:hAnsi="Times New Roman" w:eastAsia="Times New Roman"/>
          <w:b w:val="0"/>
          <w:i w:val="0"/>
          <w:sz w:val="26"/>
        </w:rPr>
        <w:t xml:space="preserve">, </w:t>
      </w:r>
      <w:r>
        <w:rPr>
          <w:rFonts w:ascii="Times New Roman" w:hAnsi="Times New Roman" w:eastAsia="Times New Roman"/>
          <w:b w:val="0"/>
          <w:i/>
          <w:sz w:val="26"/>
        </w:rPr>
        <w:t>attendance</w:t>
      </w:r>
      <w:r>
        <w:rPr>
          <w:rFonts w:ascii="Times New Roman" w:hAnsi="Times New Roman" w:eastAsia="Times New Roman"/>
          <w:b w:val="0"/>
          <w:i w:val="0"/>
          <w:sz w:val="26"/>
        </w:rPr>
        <w:t xml:space="preserve"> tuân theo cùng quy ước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 RLS theo tenant) đã trình bày tại §2.2.4 và quan hệ thực thể tại §2.3.2.</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domain_verify_token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Token DCV (Domain Control Validation) sinh khi tenant đăng ký tên miền riêng</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domain_verified_at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xác minh tên miền thành công qua bản ghi CNAME/TXT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domain_status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Trạng thái xác minh tên miền: </w:t>
            </w:r>
            <w:r>
              <w:rPr>
                <w:rFonts w:ascii="Times New Roman" w:hAnsi="Times New Roman" w:eastAsia="Times New Roman"/>
                <w:b w:val="0"/>
                <w:i/>
                <w:sz w:val="24"/>
              </w:rPr>
              <w:t>PENDING</w:t>
            </w:r>
            <w:r>
              <w:rPr>
                <w:rFonts w:ascii="Times New Roman" w:hAnsi="Times New Roman" w:eastAsia="Times New Roman"/>
                <w:b w:val="0"/>
                <w:i w:val="0"/>
                <w:sz w:val="24"/>
              </w:rPr>
              <w:t xml:space="preserve"> / </w:t>
            </w:r>
            <w:r>
              <w:rPr>
                <w:rFonts w:ascii="Times New Roman" w:hAnsi="Times New Roman" w:eastAsia="Times New Roman"/>
                <w:b w:val="0"/>
                <w:i/>
                <w:sz w:val="24"/>
              </w:rPr>
              <w:t>VERIFIED</w:t>
            </w:r>
            <w:r>
              <w:rPr>
                <w:rFonts w:ascii="Times New Roman" w:hAnsi="Times New Roman" w:eastAsia="Times New Roman"/>
                <w:b w:val="0"/>
                <w:i w:val="0"/>
                <w:sz w:val="24"/>
              </w:rPr>
              <w:t xml:space="preserve"> / </w:t>
            </w:r>
            <w:r>
              <w:rPr>
                <w:rFonts w:ascii="Times New Roman" w:hAnsi="Times New Roman" w:eastAsia="Times New Roman"/>
                <w:b w:val="0"/>
                <w:i/>
                <w:sz w:val="24"/>
              </w:rPr>
              <w:t>FAILED</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16</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17</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18</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 và là bảng chịu yêu cầu tuân thủ PDPL chặt chẽ nhất do chứa thông tin cá nhân nhạy cảm.</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bốn gói dịch vụ phân tầng theo persona mục tiêu (Bảng 2.10). Hai gói FREE và STARTER đã kiểm chứng hiện tại với hai giáo viên độc lập; hai gói PRO và PRO_PLUS thuộc lộ trình phát triển sau khi mở rộng cohort tenant.</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24"/>
              </w:rPr>
            </w:r>
            <w:r>
              <w:rPr>
                <w:rFonts w:ascii="Times New Roman" w:hAnsi="Times New Roman" w:eastAsia="Times New Roman"/>
                <w:b/>
                <w:i w:val="0"/>
                <w:sz w:val="24"/>
              </w:rPr>
              <w:t>Gói</w:t>
            </w:r>
          </w:p>
        </w:tc>
        <w:tc>
          <w:tcPr>
            <w:tcW w:type="dxa" w:w="960"/>
          </w:tcPr>
          <w:p>
            <w:pPr>
              <w:jc w:val="center"/>
            </w:pPr>
            <w:r>
              <w:rPr>
                <w:b/>
                <w:sz w:val="24"/>
              </w:rPr>
            </w:r>
            <w:r>
              <w:rPr>
                <w:rFonts w:ascii="Times New Roman" w:hAnsi="Times New Roman" w:eastAsia="Times New Roman"/>
                <w:b/>
                <w:i w:val="0"/>
                <w:sz w:val="24"/>
              </w:rPr>
              <w:t>Trạng thái</w:t>
            </w:r>
          </w:p>
        </w:tc>
        <w:tc>
          <w:tcPr>
            <w:tcW w:type="dxa" w:w="960"/>
          </w:tcPr>
          <w:p>
            <w:pPr>
              <w:jc w:val="center"/>
            </w:pPr>
            <w:r>
              <w:rPr>
                <w:b/>
                <w:sz w:val="24"/>
              </w:rPr>
            </w:r>
            <w:r>
              <w:rPr>
                <w:rFonts w:ascii="Times New Roman" w:hAnsi="Times New Roman" w:eastAsia="Times New Roman"/>
                <w:b/>
                <w:i w:val="0"/>
                <w:sz w:val="24"/>
              </w:rPr>
              <w:t>Persona mục tiêu</w:t>
            </w:r>
          </w:p>
        </w:tc>
        <w:tc>
          <w:tcPr>
            <w:tcW w:type="dxa" w:w="960"/>
          </w:tcPr>
          <w:p>
            <w:pPr>
              <w:jc w:val="center"/>
            </w:pPr>
            <w:r>
              <w:rPr>
                <w:b/>
                <w:sz w:val="24"/>
              </w:rPr>
            </w:r>
            <w:r>
              <w:rPr>
                <w:rFonts w:ascii="Times New Roman" w:hAnsi="Times New Roman" w:eastAsia="Times New Roman"/>
                <w:b/>
                <w:i w:val="0"/>
                <w:sz w:val="24"/>
              </w:rPr>
              <w:t>Giá tháng</w:t>
            </w:r>
          </w:p>
        </w:tc>
        <w:tc>
          <w:tcPr>
            <w:tcW w:type="dxa" w:w="960"/>
          </w:tcPr>
          <w:p>
            <w:pPr>
              <w:jc w:val="center"/>
            </w:pPr>
            <w:r>
              <w:rPr>
                <w:b/>
                <w:sz w:val="24"/>
              </w:rPr>
            </w:r>
            <w:r>
              <w:rPr>
                <w:rFonts w:ascii="Times New Roman" w:hAnsi="Times New Roman" w:eastAsia="Times New Roman"/>
                <w:b/>
                <w:i w:val="0"/>
                <w:sz w:val="24"/>
              </w:rPr>
              <w:t>Số học sinh</w:t>
            </w:r>
          </w:p>
        </w:tc>
        <w:tc>
          <w:tcPr>
            <w:tcW w:type="dxa" w:w="960"/>
          </w:tcPr>
          <w:p>
            <w:pPr>
              <w:jc w:val="center"/>
            </w:pPr>
            <w:r>
              <w:rPr>
                <w:b/>
                <w:sz w:val="24"/>
              </w:rPr>
            </w:r>
            <w:r>
              <w:rPr>
                <w:rFonts w:ascii="Times New Roman" w:hAnsi="Times New Roman" w:eastAsia="Times New Roman"/>
                <w:b/>
                <w:i w:val="0"/>
                <w:sz w:val="24"/>
              </w:rPr>
              <w:t>Số lớp</w:t>
            </w:r>
          </w:p>
        </w:tc>
        <w:tc>
          <w:tcPr>
            <w:tcW w:type="dxa" w:w="960"/>
          </w:tcPr>
          <w:p>
            <w:pPr>
              <w:jc w:val="center"/>
            </w:pPr>
            <w:r>
              <w:rPr>
                <w:b/>
                <w:sz w:val="24"/>
              </w:rPr>
            </w:r>
            <w:r>
              <w:rPr>
                <w:rFonts w:ascii="Times New Roman" w:hAnsi="Times New Roman" w:eastAsia="Times New Roman"/>
                <w:b/>
                <w:i w:val="0"/>
                <w:sz w:val="24"/>
              </w:rPr>
              <w:t>Lượt sinh ảnh AI/ngày</w:t>
            </w:r>
          </w:p>
        </w:tc>
        <w:tc>
          <w:tcPr>
            <w:tcW w:type="dxa" w:w="960"/>
          </w:tcPr>
          <w:p>
            <w:pPr>
              <w:jc w:val="center"/>
            </w:pPr>
            <w:r>
              <w:rPr>
                <w:b/>
                <w:sz w:val="24"/>
              </w:rPr>
            </w:r>
            <w:r>
              <w:rPr>
                <w:rFonts w:ascii="Times New Roman" w:hAnsi="Times New Roman" w:eastAsia="Times New Roman"/>
                <w:b/>
                <w:i w:val="0"/>
                <w:sz w:val="24"/>
              </w:rPr>
              <w:t>Tên miền riêng (custom domain)</w:t>
            </w:r>
          </w:p>
        </w:tc>
        <w:tc>
          <w:tcPr>
            <w:tcW w:type="dxa" w:w="960"/>
          </w:tcPr>
          <w:p>
            <w:pPr>
              <w:jc w:val="center"/>
            </w:pPr>
            <w:r>
              <w:rPr>
                <w:b/>
                <w:sz w:val="24"/>
              </w:rPr>
            </w:r>
            <w:r>
              <w:rPr>
                <w:rFonts w:ascii="Times New Roman" w:hAnsi="Times New Roman" w:eastAsia="Times New Roman"/>
                <w:b/>
                <w:i w:val="0"/>
                <w:sz w:val="24"/>
              </w:rPr>
              <w:t>Email DKIM-verified</w:t>
            </w:r>
          </w:p>
        </w:tc>
      </w:tr>
      <w:tr>
        <w:tc>
          <w:tcPr>
            <w:tcW w:type="dxa" w:w="960"/>
          </w:tcPr>
          <w:p>
            <w:r>
              <w:rPr>
                <w:sz w:val="24"/>
              </w:rPr>
            </w:r>
            <w:r>
              <w:rPr>
                <w:rFonts w:ascii="Times New Roman" w:hAnsi="Times New Roman" w:eastAsia="Times New Roman"/>
                <w:b w:val="0"/>
                <w:i w:val="0"/>
                <w:sz w:val="24"/>
              </w:rPr>
              <w:t>FREE</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P1 Giáo viên độc lập</w:t>
            </w:r>
          </w:p>
        </w:tc>
        <w:tc>
          <w:tcPr>
            <w:tcW w:type="dxa" w:w="960"/>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w:t>
            </w:r>
          </w:p>
        </w:tc>
        <w:tc>
          <w:tcPr>
            <w:tcW w:type="dxa" w:w="960"/>
          </w:tcPr>
          <w:p>
            <w:r>
              <w:rPr>
                <w:sz w:val="24"/>
              </w:rPr>
            </w:r>
            <w:r>
              <w:rPr>
                <w:rFonts w:ascii="Times New Roman" w:hAnsi="Times New Roman" w:eastAsia="Times New Roman"/>
                <w:b w:val="0"/>
                <w:i w:val="0"/>
                <w:sz w:val="24"/>
              </w:rPr>
              <w:t>3</w:t>
            </w:r>
          </w:p>
        </w:tc>
        <w:tc>
          <w:tcPr>
            <w:tcW w:type="dxa" w:w="960"/>
          </w:tcPr>
          <w:p>
            <w:r>
              <w:rPr>
                <w:sz w:val="24"/>
              </w:rPr>
            </w:r>
            <w:r>
              <w:rPr>
                <w:rFonts w:ascii="Times New Roman" w:hAnsi="Times New Roman" w:eastAsia="Times New Roman"/>
                <w:b w:val="0"/>
                <w:i w:val="0"/>
                <w:sz w:val="24"/>
              </w:rPr>
              <w:t xml:space="preserve">Không (chỉ subdomain </w:t>
            </w:r>
            <w:r>
              <w:rPr>
                <w:rFonts w:ascii="Times New Roman" w:hAnsi="Times New Roman" w:eastAsia="Times New Roman"/>
                <w:b w:val="0"/>
                <w:i/>
                <w:sz w:val="24"/>
              </w:rPr>
              <w:t>*.kitehub.me</w:t>
            </w:r>
            <w:r>
              <w:rPr>
                <w:rFonts w:ascii="Times New Roman" w:hAnsi="Times New Roman" w:eastAsia="Times New Roman"/>
                <w:b w:val="0"/>
                <w:i w:val="0"/>
                <w:sz w:val="24"/>
              </w:rPr>
              <w:t>)</w:t>
            </w:r>
          </w:p>
        </w:tc>
        <w:tc>
          <w:tcPr>
            <w:tcW w:type="dxa" w:w="960"/>
          </w:tcPr>
          <w:p>
            <w:r>
              <w:rPr>
                <w:sz w:val="24"/>
              </w:rPr>
            </w:r>
            <w:r>
              <w:rPr>
                <w:rFonts w:ascii="Times New Roman" w:hAnsi="Times New Roman" w:eastAsia="Times New Roman"/>
                <w:b w:val="0"/>
                <w:i w:val="0"/>
                <w:sz w:val="24"/>
              </w:rPr>
              <w:t>Mặc định (shared DKIM)</w:t>
            </w:r>
          </w:p>
        </w:tc>
      </w:tr>
      <w:tr>
        <w:tc>
          <w:tcPr>
            <w:tcW w:type="dxa" w:w="960"/>
          </w:tcPr>
          <w:p>
            <w:r>
              <w:rPr>
                <w:sz w:val="24"/>
              </w:rPr>
            </w:r>
            <w:r>
              <w:rPr>
                <w:rFonts w:ascii="Times New Roman" w:hAnsi="Times New Roman" w:eastAsia="Times New Roman"/>
                <w:b w:val="0"/>
                <w:i w:val="0"/>
                <w:sz w:val="24"/>
              </w:rPr>
              <w:t>STARTER</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P2 Chủ sở hữu trung tâm SMB</w:t>
            </w:r>
          </w:p>
        </w:tc>
        <w:tc>
          <w:tcPr>
            <w:tcW w:type="dxa" w:w="960"/>
          </w:tcPr>
          <w:p>
            <w:r>
              <w:rPr>
                <w:sz w:val="24"/>
              </w:rPr>
            </w:r>
            <w:r>
              <w:rPr>
                <w:rFonts w:ascii="Times New Roman" w:hAnsi="Times New Roman" w:eastAsia="Times New Roman"/>
                <w:b w:val="0"/>
                <w:i/>
                <w:sz w:val="24"/>
              </w:rPr>
              <w:t>500.000đ/tháng</w:t>
            </w:r>
          </w:p>
        </w:tc>
        <w:tc>
          <w:tcPr>
            <w:tcW w:type="dxa" w:w="960"/>
          </w:tcPr>
          <w:p>
            <w:r>
              <w:rPr>
                <w:sz w:val="24"/>
              </w:rPr>
            </w:r>
            <w:r>
              <w:rPr>
                <w:rFonts w:ascii="Times New Roman" w:hAnsi="Times New Roman" w:eastAsia="Times New Roman"/>
                <w:b w:val="0"/>
                <w:i w:val="0"/>
                <w:sz w:val="24"/>
              </w:rPr>
              <w:t>100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Không</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P3 Quản lý trung tâm</w:t>
            </w:r>
          </w:p>
        </w:tc>
        <w:tc>
          <w:tcPr>
            <w:tcW w:type="dxa" w:w="960"/>
          </w:tcPr>
          <w:p>
            <w:r>
              <w:rPr>
                <w:sz w:val="24"/>
              </w:rPr>
            </w:r>
            <w:r>
              <w:rPr>
                <w:rFonts w:ascii="Times New Roman" w:hAnsi="Times New Roman" w:eastAsia="Times New Roman"/>
                <w:b w:val="0"/>
                <w:i/>
                <w:sz w:val="24"/>
              </w:rPr>
              <w:t>1.500.000đ/tháng</w:t>
            </w:r>
          </w:p>
        </w:tc>
        <w:tc>
          <w:tcPr>
            <w:tcW w:type="dxa" w:w="960"/>
          </w:tcPr>
          <w:p>
            <w:r>
              <w:rPr>
                <w:sz w:val="24"/>
              </w:rPr>
            </w:r>
            <w:r>
              <w:rPr>
                <w:rFonts w:ascii="Times New Roman" w:hAnsi="Times New Roman" w:eastAsia="Times New Roman"/>
                <w:b w:val="0"/>
                <w:i w:val="0"/>
                <w:sz w:val="24"/>
              </w:rPr>
              <w:t>500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Có (custom CNAME)</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PRO_PLUS</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Chuỗi nhượng quyền multi-branch</w:t>
            </w:r>
          </w:p>
        </w:tc>
        <w:tc>
          <w:tcPr>
            <w:tcW w:type="dxa" w:w="960"/>
          </w:tcPr>
          <w:p>
            <w:r>
              <w:rPr>
                <w:sz w:val="24"/>
              </w:rPr>
            </w:r>
            <w:r>
              <w:rPr>
                <w:rFonts w:ascii="Times New Roman" w:hAnsi="Times New Roman" w:eastAsia="Times New Roman"/>
                <w:b w:val="0"/>
                <w:i/>
                <w:sz w:val="24"/>
              </w:rPr>
              <w:t>5.000.000đ/tháng</w:t>
            </w:r>
          </w:p>
        </w:tc>
        <w:tc>
          <w:tcPr>
            <w:tcW w:type="dxa" w:w="960"/>
          </w:tcPr>
          <w:p>
            <w:r>
              <w:rPr>
                <w:sz w:val="24"/>
              </w:rPr>
            </w:r>
            <w:r>
              <w:rPr>
                <w:rFonts w:ascii="Times New Roman" w:hAnsi="Times New Roman" w:eastAsia="Times New Roman"/>
                <w:b w:val="0"/>
                <w:i w:val="0"/>
                <w:sz w:val="24"/>
              </w:rPr>
              <w:t>2000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Có (custom CNAME + IP riêng)</w:t>
            </w:r>
          </w:p>
        </w:tc>
        <w:tc>
          <w:tcPr>
            <w:tcW w:type="dxa" w:w="960"/>
          </w:tcPr>
          <w:p>
            <w:r>
              <w:rPr>
                <w:sz w:val="24"/>
              </w:rPr>
            </w:r>
            <w:r>
              <w:rPr>
                <w:rFonts w:ascii="Times New Roman" w:hAnsi="Times New Roman" w:eastAsia="Times New Roman"/>
                <w:b w:val="0"/>
                <w:i w:val="0"/>
                <w:sz w:val="24"/>
              </w:rPr>
              <w:t>DKIM-verified riêng</w:t>
            </w:r>
          </w:p>
        </w:tc>
      </w:tr>
    </w:tbl>
    <w:p/>
    <w:p>
      <w:pPr>
        <w:spacing w:line="288" w:lineRule="auto"/>
        <w:ind w:firstLine="567"/>
        <w:jc w:val="both"/>
      </w:pPr>
      <w:r>
        <w:rPr>
          <w:rFonts w:ascii="Times New Roman" w:hAnsi="Times New Roman" w:eastAsia="Times New Roman"/>
          <w:b/>
          <w:i w:val="0"/>
          <w:sz w:val="26"/>
        </w:rPr>
        <w:t>Trạng thái hiện thực hoá.</w:t>
      </w:r>
      <w:r>
        <w:rPr>
          <w:rFonts w:ascii="Times New Roman" w:hAnsi="Times New Roman" w:eastAsia="Times New Roman"/>
          <w:b w:val="0"/>
          <w:i w:val="0"/>
          <w:sz w:val="26"/>
        </w:rPr>
        <w:t xml:space="preserve"> Mã nguồn hiện tại trên kho lưu trữ KiteHub đã định nghĩa enum </w:t>
      </w:r>
      <w:r>
        <w:rPr>
          <w:rFonts w:ascii="Times New Roman" w:hAnsi="Times New Roman" w:eastAsia="Times New Roman"/>
          <w:b w:val="0"/>
          <w:i/>
          <w:sz w:val="26"/>
        </w:rPr>
        <w:t>PricingTier</w:t>
      </w:r>
      <w:r>
        <w:rPr>
          <w:rFonts w:ascii="Times New Roman" w:hAnsi="Times New Roman" w:eastAsia="Times New Roman"/>
          <w:b w:val="0"/>
          <w:i w:val="0"/>
          <w:sz w:val="26"/>
        </w:rPr>
        <w:t xml:space="preserve"> với bốn cấp giá </w:t>
      </w:r>
      <w:r>
        <w:rPr>
          <w:rFonts w:ascii="Times New Roman" w:hAnsi="Times New Roman" w:eastAsia="Times New Roman"/>
          <w:b w:val="0"/>
          <w:i/>
          <w:sz w:val="26"/>
        </w:rPr>
        <w:t>FREE / BASIC / PREMIUM / ENTERPRISE</w:t>
      </w:r>
      <w:r>
        <w:rPr>
          <w:rFonts w:ascii="Times New Roman" w:hAnsi="Times New Roman" w:eastAsia="Times New Roman"/>
          <w:b w:val="0"/>
          <w:i w:val="0"/>
          <w:sz w:val="26"/>
        </w:rPr>
        <w:t xml:space="preserve"> cùng mức giá </w:t>
      </w:r>
      <w:r>
        <w:rPr>
          <w:rFonts w:ascii="Times New Roman" w:hAnsi="Times New Roman" w:eastAsia="Times New Roman"/>
          <w:b w:val="0"/>
          <w:i/>
          <w:sz w:val="26"/>
        </w:rPr>
        <w:t>0đ / 500.000đ / 1.500.000đ / báo giá riêng</w:t>
      </w:r>
      <w:r>
        <w:rPr>
          <w:rFonts w:ascii="Times New Roman" w:hAnsi="Times New Roman" w:eastAsia="Times New Roman"/>
          <w:b w:val="0"/>
          <w:i w:val="0"/>
          <w:sz w:val="26"/>
        </w:rPr>
        <w:t xml:space="preserve">, khớp ba tầng giá đầu của Bảng 2.10 dưới tên gọi cũ. Việc đổi tên gói sang </w:t>
      </w:r>
      <w:r>
        <w:rPr>
          <w:rFonts w:ascii="Times New Roman" w:hAnsi="Times New Roman" w:eastAsia="Times New Roman"/>
          <w:b w:val="0"/>
          <w:i/>
          <w:sz w:val="26"/>
        </w:rPr>
        <w:t>FREE / STARTER / PRO / PRO_PLUS</w:t>
      </w:r>
      <w:r>
        <w:rPr>
          <w:rFonts w:ascii="Times New Roman" w:hAnsi="Times New Roman" w:eastAsia="Times New Roman"/>
          <w:b w:val="0"/>
          <w:i w:val="0"/>
          <w:sz w:val="26"/>
        </w:rPr>
        <w:t xml:space="preserve"> để thân thiện với người dùng và đồng nhất với phân tích nhóm người dùng đại diện tại §1.1.2, bổ sung trường giới hạn </w:t>
      </w:r>
      <w:r>
        <w:rPr>
          <w:rFonts w:ascii="Times New Roman" w:hAnsi="Times New Roman" w:eastAsia="Times New Roman"/>
          <w:b w:val="0"/>
          <w:i/>
          <w:sz w:val="26"/>
        </w:rPr>
        <w:t>maxClasses</w:t>
      </w:r>
      <w:r>
        <w:rPr>
          <w:rFonts w:ascii="Times New Roman" w:hAnsi="Times New Roman" w:eastAsia="Times New Roman"/>
          <w:b w:val="0"/>
          <w:i w:val="0"/>
          <w:sz w:val="26"/>
        </w:rPr>
        <w:t xml:space="preserve">, và xây dựng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cho cơ chế enforcement HTTP 429 ở tầng tenant thuộc lộ trình phát triển sau. Tính năng nhận diện email DKIM riêng cho gói cao cấp (cột "Email DKIM-verified" cho PRO_PLUS) cũng thuộc lộ trình phát triển sau.</w:t>
      </w:r>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pPr>
        <w:spacing w:line="288" w:lineRule="auto"/>
        <w:ind w:firstLine="567"/>
        <w:jc w:val="both"/>
      </w:pPr>
      <w:r>
        <w:rPr>
          <w:rFonts w:ascii="Times New Roman" w:hAnsi="Times New Roman" w:eastAsia="Times New Roman"/>
          <w:b w:val="0"/>
          <w:i w:val="0"/>
          <w:sz w:val="26"/>
        </w:rPr>
        <w:t>Roadmap lộ trình phát triển sau: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TRIỂN KHAI SẢN PHẨM VÀ KIỂM THỬ HỆ THỐNG</w:t>
      </w:r>
    </w:p>
    <w:p>
      <w:pPr>
        <w:pStyle w:val="Heading2"/>
      </w:pPr>
      <w:r>
        <w:rPr>
          <w:rFonts w:ascii="Times New Roman" w:hAnsi="Times New Roman" w:eastAsia="Times New Roman"/>
          <w:b/>
          <w:color w:val="000000"/>
          <w:sz w:val="32"/>
        </w:rPr>
        <w:t>3.1 Công nghệ sử dụng</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(khách ẩn danh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sở hữu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Hiện tại,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hiện tại: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lộ trình phát triển sau gồm: cổng thông tin dành cho phụ huynh (nhóm người dùng đại diện P4), ứng dụng di động gốc,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18" name="Picture 18"/>
            <wp:cNvGraphicFramePr>
              <a:graphicFrameLocks noChangeAspect="1"/>
            </wp:cNvGraphicFramePr>
            <a:graphic>
              <a:graphicData uri="http://schemas.openxmlformats.org/drawingml/2006/picture">
                <pic:pic>
                  <pic:nvPicPr>
                    <pic:cNvPr id="0" name="mermaid-f91993f073a5141c.png"/>
                    <pic:cNvPicPr/>
                  </pic:nvPicPr>
                  <pic:blipFill>
                    <a:blip r:embed="rId26"/>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lộ trình phát triển sau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lộ trình phát triển sau hoặc lộ trình phát triển sau tùy mức ưu tiên.</w:t>
      </w:r>
    </w:p>
    <w:p>
      <w:r>
        <w:br w:type="page"/>
      </w:r>
    </w:p>
    <w:p>
      <w:pPr>
        <w:pStyle w:val="Heading1"/>
        <w:jc w:val="center"/>
      </w:pPr>
      <w:r>
        <w:rPr>
          <w:rFonts w:ascii="Times New Roman" w:hAnsi="Times New Roman" w:eastAsia="Times New Roman"/>
          <w:b/>
          <w:color w:val="000000"/>
          <w:sz w:val="36"/>
        </w:rPr>
        <w:t>CHƯƠNG 4. TRIỂN KHAI HẠ TẦNG VÀ KẾT QUẢ VẬN HÀNH</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19" name="Picture 19"/>
            <wp:cNvGraphicFramePr>
              <a:graphicFrameLocks noChangeAspect="1"/>
            </wp:cNvGraphicFramePr>
            <a:graphic>
              <a:graphicData uri="http://schemas.openxmlformats.org/drawingml/2006/picture">
                <pic:pic>
                  <pic:nvPicPr>
                    <pic:cNvPr id="0" name="plantuml-294497237df6674e.png"/>
                    <pic:cNvPicPr/>
                  </pic:nvPicPr>
                  <pic:blipFill>
                    <a:blip r:embed="rId27"/>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0" name="Picture 20"/>
            <wp:cNvGraphicFramePr>
              <a:graphicFrameLocks noChangeAspect="1"/>
            </wp:cNvGraphicFramePr>
            <a:graphic>
              <a:graphicData uri="http://schemas.openxmlformats.org/drawingml/2006/picture">
                <pic:pic>
                  <pic:nvPicPr>
                    <pic:cNvPr id="0" name="plantuml-e506096e358f22e1.png"/>
                    <pic:cNvPicPr/>
                  </pic:nvPicPr>
                  <pic:blipFill>
                    <a:blip r:embed="rId28"/>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719135"/>
            <wp:docPr id="21" name="Picture 21"/>
            <wp:cNvGraphicFramePr>
              <a:graphicFrameLocks noChangeAspect="1"/>
            </wp:cNvGraphicFramePr>
            <a:graphic>
              <a:graphicData uri="http://schemas.openxmlformats.org/drawingml/2006/picture">
                <pic:pic>
                  <pic:nvPicPr>
                    <pic:cNvPr id="0" name="mermaid-03228ac755923191.png"/>
                    <pic:cNvPicPr/>
                  </pic:nvPicPr>
                  <pic:blipFill>
                    <a:blip r:embed="rId29"/>
                    <a:stretch>
                      <a:fillRect/>
                    </a:stretch>
                  </pic:blipFill>
                  <pic:spPr>
                    <a:xfrm>
                      <a:off x="0" y="0"/>
                      <a:ext cx="5760000" cy="27191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716687"/>
            <wp:docPr id="22" name="Picture 22"/>
            <wp:cNvGraphicFramePr>
              <a:graphicFrameLocks noChangeAspect="1"/>
            </wp:cNvGraphicFramePr>
            <a:graphic>
              <a:graphicData uri="http://schemas.openxmlformats.org/drawingml/2006/picture">
                <pic:pic>
                  <pic:nvPicPr>
                    <pic:cNvPr id="0" name="mermaid-aefd47c63cad2c34.png"/>
                    <pic:cNvPicPr/>
                  </pic:nvPicPr>
                  <pic:blipFill>
                    <a:blip r:embed="rId30"/>
                    <a:stretch>
                      <a:fillRect/>
                    </a:stretch>
                  </pic:blipFill>
                  <pic:spPr>
                    <a:xfrm>
                      <a:off x="0" y="0"/>
                      <a:ext cx="5760000" cy="271668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Sky Education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[Phần này sẽ điền sau khi thu thập phản hồi từ các tenant thử nghiệm trong hiện tại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chính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phản hồi xác nhận từ chủ sở hữu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(số người dùng hoạt động, số lần sinh AI Branding, số giao dịch thanh toán đã xử lý) trong cửa sổ 2-4 tuần đầu sau khi mời thử nghiệm.</w:t>
      </w:r>
    </w:p>
    <w:p>
      <w:pPr>
        <w:pStyle w:val="ListBullet"/>
        <w:spacing w:line="288" w:lineRule="auto"/>
        <w:ind w:left="850" w:hanging="283"/>
      </w:pPr>
      <w:r>
        <w:rPr>
          <w:rFonts w:ascii="Times New Roman" w:hAnsi="Times New Roman" w:eastAsia="Times New Roman"/>
          <w:b w:val="0"/>
          <w:i w:val="0"/>
          <w:sz w:val="26"/>
        </w:rPr>
        <w:t>Ảnh chụp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triển khai hiện tại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triển khai hiện tại chỉ phục vụ ba nhóm người dùng (giáo viên độc lập, chủ sở hữu trung tâm, quản lý trung tâm); nhóm phụ huynh và học viên thuộc phân khúc K-12 thuộc lộ trình phát triển sau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phạm vi triển khai hiện tại mới có hai giáo viên độc lập (một gói miễn phí, một gói trả phí)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thuộc lộ trình phát triển sau.</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4"/>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header" Target="header1.xml"/><Relationship Id="rId32" Type="http://schemas.openxmlformats.org/officeDocument/2006/relationships/header" Target="header2.xml"/><Relationship Id="rId33" Type="http://schemas.openxmlformats.org/officeDocument/2006/relationships/header" Target="header3.xml"/><Relationship Id="rId3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