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0" w:after="0"/>
        <w:jc w:val="center"/>
        <w:pBdr>
          <w:bottom w:val="single" w:sz="8" w:space="1" w:color="000000"/>
        </w:pBdr>
      </w:pPr>
    </w:p>
    <w:p>
      <w:pPr>
        <w:spacing w:before="720" w:after="720"/>
        <w:jc w:val="center"/>
      </w:pPr>
      <w:r>
        <w:rPr>
          <w:rFonts w:ascii="Times New Roman" w:hAnsi="Times New Roman" w:eastAsia="Times New Roman"/>
          <w:b w:val="0"/>
          <w:i w:val="0"/>
          <w:sz w:val="198"/>
        </w:rPr>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pPr>
    </w:p>
    <w:p>
      <w:pPr>
        <w:spacing w:before="0" w:after="0"/>
      </w:pPr>
    </w:p>
    <w:p>
      <w:pPr>
        <w:jc w:val="center"/>
      </w:pPr>
      <w:r>
        <w:rPr>
          <w:rFonts w:ascii="Times New Roman" w:hAnsi="Times New Roman" w:eastAsia="Times New Roman"/>
          <w:b/>
          <w:i/>
          <w:sz w:val="28"/>
        </w:rPr>
        <w:t>Hà Nội – 2026</w:t>
      </w:r>
    </w:p>
    <w:p>
      <w:pPr>
        <w:sectPr>
          <w:headerReference w:type="default" r:id="rId34"/>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để em được tiếp cận với các kiến thức nền tảng về Công nghệ phần mềm, Kiến trúc hệ thống phân tán, Cơ sở dữ liệu, An toàn thông tin và các công nghệ thực tiễn trong ngành công nghiệp phần mềm. Môi trường học tập chuyên nghiệp cùng với chương trình đào tạo bài bản là nền tảng quan trọng giúp em có đủ năng lực và sự tự tin thực hiện đề tài này.</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
      <w:pPr>
        <w:keepNext/>
        <w:spacing w:after="0"/>
        <w:jc w:val="right"/>
      </w:pPr>
      <w:r>
        <w:rPr>
          <w:rFonts w:ascii="Times New Roman" w:hAnsi="Times New Roman" w:eastAsia="Times New Roman"/>
          <w:b w:val="0"/>
          <w:i/>
          <w:sz w:val="26"/>
        </w:rPr>
        <w:t>Hà Nội, ngày … tháng … năm 2026</w:t>
      </w:r>
    </w:p>
    <w:p>
      <w:pPr>
        <w:keepNext/>
        <w:spacing w:after="0"/>
        <w:jc w:val="right"/>
      </w:pPr>
      <w:r>
        <w:rPr>
          <w:rFonts w:ascii="Times New Roman" w:hAnsi="Times New Roman" w:eastAsia="Times New Roman"/>
          <w:b/>
          <w:i w:val="0"/>
          <w:sz w:val="26"/>
        </w:rPr>
        <w:t>Sinh viên thực hiện</w:t>
      </w:r>
    </w:p>
    <w:p/>
    <w:p>
      <w:pPr>
        <w:keepNext w:val="0"/>
        <w:jc w:val="right"/>
      </w:pPr>
      <w:r>
        <w:rPr>
          <w:rFonts w:ascii="Times New Roman" w:hAnsi="Times New Roman" w:eastAsia="Times New Roman"/>
          <w:b/>
          <w:i w:val="0"/>
          <w:sz w:val="26"/>
        </w:rPr>
        <w:t>Nguyễn Văn Kiệt</w:t>
      </w:r>
    </w:p>
    <w:p>
      <w:pPr>
        <w:sectPr>
          <w:headerReference w:type="default" r:id="rId35"/>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bl>
    <w:p>
      <w:pPr>
        <w:sectPr>
          <w:headerReference w:type="default" r:id="rId36"/>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multi-tenant gốc, Vietnamese-first UX, và tự động hóa các tác vụ branding bằng AI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PDPL 2023,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phương pháp luận audit-driven development để duy trì chất lượng code + docs trong quá trình phát triển dài hạn.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Đồ án tập trung vào giai đoạn thử nghiệm tenant của nền tảng KiteHub, được giới hạn theo ba chiều: không gian, thời gian và đối tượng. Về không gian, hệ thống triển khai cloud trên AWS Singapore (ap-southeast-1) Free Tier theo ADR-025, phục vụ nhóm trung tâm giáo dục thương mại tại Việt Nam (Hà Nội, TP. Hồ Chí Minh và các tỉnh lân cận). Về thời gian, phạm vi triển khai kéo dài từ tháng 5/2026 đến hết giai đoạn thử nghiệm tenant (~tháng 9/2026), với cohort 7-10 trung tâm dùng miễn phí trong 9 tuần đầu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persona chính: Solo Teacher (giáo viên độc lập, 1-50 học viên), Center Owner (chủ trung tâm, 1-10 chi nhánh, 100-2.000 học viên), và Center Manager (quản lý vận hành trung tâm). Persona K-12 Parent + Student được hoãn sang giai đoạn mở rộng K-12 do yêu cầu bổ sung DPO + DPIA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phương pháp luận Quality-Driven Development bốn trụ cột (TDD per Beck 2002, DDD per Evans 2003, PDCA per Deming 1986, Lean per Poppendieck 2003) — mỗi miss được chuyển thành rule + cơ chế enforcement trong cùng pull request.</w:t>
      </w:r>
    </w:p>
    <w:p>
      <w:pPr>
        <w:pStyle w:val="ListBullet"/>
        <w:spacing w:line="288" w:lineRule="auto"/>
        <w:ind w:left="850" w:hanging="283"/>
      </w:pPr>
      <w:r>
        <w:rPr>
          <w:rFonts w:ascii="Times New Roman" w:hAnsi="Times New Roman" w:eastAsia="Times New Roman"/>
          <w:b w:val="0"/>
          <w:i w:val="0"/>
          <w:sz w:val="26"/>
        </w:rPr>
        <w:t>Đánh giá chất lượng hệ thống qua bộ audit bảy chiều (Quality, UI, Security, Performance, API Contract, Business Logic, Ops Readiness) chấm điểm /100 hoặc /128 định kỳ sau mỗi wave.</w:t>
      </w:r>
    </w:p>
    <w:p>
      <w:pPr>
        <w:pStyle w:val="Heading2"/>
      </w:pPr>
      <w:r>
        <w:rPr>
          <w:rFonts w:ascii="Times New Roman" w:hAnsi="Times New Roman" w:eastAsia="Times New Roman"/>
          <w:b/>
          <w:color w:val="000000"/>
          <w:sz w:val="32"/>
        </w:rPr>
        <w:t>5. Tóm tắt nội dung</w:t>
      </w:r>
    </w:p>
    <w:p>
      <w:pPr>
        <w:spacing w:line="288" w:lineRule="auto"/>
        <w:ind w:firstLine="567"/>
        <w:jc w:val="both"/>
      </w:pPr>
      <w:r>
        <w:rPr>
          <w:rFonts w:ascii="Times New Roman" w:hAnsi="Times New Roman" w:eastAsia="Times New Roman"/>
          <w:b w:val="0"/>
          <w:i w:val="0"/>
          <w:sz w:val="26"/>
        </w:rPr>
        <w:t>Đồ án trình bày bốn đóng góp chính tương ứng bốn chương nội dung. Thứ nhất, đồ án phân tích thị trường EdTech Việt Nam và khung pháp lý liên quan (PDPL 2023, Luật An ninh mạng 2018, Thông tư 29/2024/TT-BGDĐT) làm cơ sở xác định khoảng trống và nhu cầu của nhóm trung tâm vừa và nhỏ. Thứ hai, đồ án thiết kế và mô tả kiến trúc hệ thống multi-tenant SaaS với mô hình C4 bốn cấp, kết hợp Use Case + Class + ERD và sơ đồ tuần tự cho các luồng quan trọng (đăng ký, kích hoạt subscription).</w:t>
      </w:r>
    </w:p>
    <w:p>
      <w:pPr>
        <w:spacing w:line="288" w:lineRule="auto"/>
        <w:ind w:firstLine="567"/>
        <w:jc w:val="both"/>
      </w:pPr>
      <w:r>
        <w:rPr>
          <w:rFonts w:ascii="Times New Roman" w:hAnsi="Times New Roman" w:eastAsia="Times New Roman"/>
          <w:b w:val="0"/>
          <w:i w:val="0"/>
          <w:sz w:val="26"/>
        </w:rPr>
        <w:t>Thứ ba, đồ án triển khai và kiểm thử hệ thống trên AWS Singapore Free Tier, với các pattern cốt lõi (Row-Level Security NULL force-fail, Outbox Pattern, JWT propagation, REST 3-tier) được kiểm chứng qua unit test, integration test và E2E test. Thứ tư, đồ án trình bày kết quả triển khai thực tế trong giai đoạn thử nghiệm tenant kèm các KPI đo lường, đánh giá độ trưởng thành và đề xuất hướng phát triển tiếp theo. Kết quả của đồ án vừa là sản phẩm phần mềm hoạt động được, vừa là tài liệu tham chiếu cho các công trình nghiên cứu kế tiếp về EdTech multi-tenant tại Việt Nam.</w:t>
      </w:r>
    </w:p>
    <w:p>
      <w:pPr>
        <w:pStyle w:val="Heading2"/>
      </w:pPr>
      <w:r>
        <w:rPr>
          <w:rFonts w:ascii="Times New Roman" w:hAnsi="Times New Roman" w:eastAsia="Times New Roman"/>
          <w:b/>
          <w:color w:val="000000"/>
          <w:sz w:val="32"/>
        </w:rPr>
        <w:t>6.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phân tích đối tượng tham khảo trên thị trường,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Kiến trúc hệ thống: yêu cầu chức năng + phi chức năng, mô hình hóa C4 + Use Case + Class + ERD, thiết kế cơ sở dữ liệu, multi-tenant single-bucket, defense-in-depth 5 lớp.</w:t>
      </w:r>
    </w:p>
    <w:p>
      <w:pPr>
        <w:pStyle w:val="ListBullet"/>
        <w:spacing w:line="288" w:lineRule="auto"/>
        <w:ind w:left="850" w:hanging="283"/>
      </w:pPr>
      <w:r>
        <w:rPr>
          <w:rFonts w:ascii="Times New Roman" w:hAnsi="Times New Roman" w:eastAsia="Times New Roman"/>
          <w:b w:val="0"/>
          <w:i w:val="0"/>
          <w:sz w:val="26"/>
        </w:rPr>
        <w:t>Chương 3 — Triển khai: kết quả triển khai giao diện sản phẩm và bộ kiểm thử ba lớp (unit / integration / E2E) với các sample test case cụ thể.</w:t>
      </w:r>
    </w:p>
    <w:p>
      <w:pPr>
        <w:pStyle w:val="ListBullet"/>
        <w:spacing w:line="288" w:lineRule="auto"/>
        <w:ind w:left="850" w:hanging="283"/>
      </w:pPr>
      <w:r>
        <w:rPr>
          <w:rFonts w:ascii="Times New Roman" w:hAnsi="Times New Roman" w:eastAsia="Times New Roman"/>
          <w:b w:val="0"/>
          <w:i w:val="0"/>
          <w:sz w:val="26"/>
        </w:rPr>
        <w:t>Chương 4 — Kết quả triển khai: cloud AWS giai đoạn thử nghiệm tenant, user onboarding flow, KPI metrics, scope thử nghiệm.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 xml:space="preserve">Đề tài tốt nghiệp được trình bày trong tài liệu này có tên đầy đủ là </w:t>
      </w:r>
      <w:r>
        <w:rPr>
          <w:rFonts w:ascii="Times New Roman" w:hAnsi="Times New Roman" w:eastAsia="Times New Roman"/>
          <w:b w:val="0"/>
          <w:i/>
          <w:sz w:val="26"/>
        </w:rPr>
        <w:t>Xây dựng hệ thống SaaS cung cấp dịch vụ đào tạo</w:t>
      </w:r>
      <w:r>
        <w:rPr>
          <w:rFonts w:ascii="Times New Roman" w:hAnsi="Times New Roman" w:eastAsia="Times New Roman"/>
          <w:b w:val="0"/>
          <w:i w:val="0"/>
          <w:sz w:val="26"/>
        </w:rPr>
        <w:t>, gọi tắt là nền tảng KiteHub. Đề tài hướng đến xây dựng một nền tảng phần mềm dạng dịch vụ (Software-as-a-Service) phục vụ các trung tâm giáo dục tư nhân quy mô nhỏ và vừa tại Việt Nam, với hai mục tiêu cốt lõi: (i) cung cấp một sản phẩm sẵn sàng vận hành cho các trung tâm trong giai đoạn thử nghiệm nội bộ, và (ii) chứng minh khả năng áp dụng đồng thời ba khối kỹ thuật then chốt của ngành Công nghệ phần mềm hiện đại — kiến trúc multi-tenant cô lập dữ liệu ở mức database, tích hợp dịch vụ AI sinh tài nguyên tự động, và tuân thủ pháp luật Việt Nam tích hợp từ thiết kế ban đầu.</w:t>
      </w:r>
    </w:p>
    <w:p>
      <w:pPr>
        <w:spacing w:line="288" w:lineRule="auto"/>
        <w:ind w:firstLine="567"/>
        <w:jc w:val="both"/>
      </w:pPr>
      <w:r>
        <w:rPr>
          <w:rFonts w:ascii="Times New Roman" w:hAnsi="Times New Roman" w:eastAsia="Times New Roman"/>
          <w:b w:val="0"/>
          <w:i w:val="0"/>
          <w:sz w:val="26"/>
        </w:rPr>
        <w:t>Đối tượng nghiên cứu của đề tài là một nền tảng SaaS đa-tenant phục vụ các trung tâm giáo dục tư nhân tại Việt Nam, trong đó mỗi tenant tương ứng với một trung tâm (hoặc một chuỗi chi nhánh thuộc cùng pháp nhân). Nền tảng định vị phục vụ ba nhóm tenant chính trong giai đoạn đầu: giáo viên độc lập (Solo Teacher, 1-50 học viên), chủ trung tâm (Center Owner, 1-10 chi nhánh, 100-2000 học viên) và quản lý trung tâm (Center Manager). Nhóm phụ huynh và học viên được hỗ trợ qua các giao diện riêng nhưng chưa nằm trong phạm vi triển khai chính của giai đoạn thử nghiệm.</w:t>
      </w:r>
    </w:p>
    <w:p>
      <w:pPr>
        <w:spacing w:line="288" w:lineRule="auto"/>
        <w:ind w:firstLine="567"/>
        <w:jc w:val="both"/>
      </w:pPr>
      <w:r>
        <w:rPr>
          <w:rFonts w:ascii="Times New Roman" w:hAnsi="Times New Roman" w:eastAsia="Times New Roman"/>
          <w:b w:val="0"/>
          <w:i w:val="0"/>
          <w:sz w:val="26"/>
        </w:rPr>
        <w:t>Phạm vi nghiên cứu của đề tài tập trung vào giai đoạn thử nghiệm tenant readiness — bao gồm bốn nhóm chức năng cốt lõi: (i) onboarding wizard tự phục vụ cho phép một trung tâm mới đăng ký và đưa vào vận hành trong 1-2 ngày thay vì 1-2 tuần; (ii) tính năng AI Branding tự sinh logo, hero image và social banner từ thông tin tenant; (iii) tenant lifecycle management bao gồm trial, kích hoạt, gia hạn và terminate; (iv) tuân thủ Luật Bảo vệ Dữ liệu Cá nhân (PDPL 2023), Luật An ninh mạng 2018 và quy định hóa đơn điện tử theo Thông tư 78/2021/TT-BTC. Các nhóm chức năng nâng cao như thanh toán tích hợp đa cổng, hóa đơn điện tử end-to-end, ứng dụng di động native, và mở rộng sang phân khúc K-12 trường công lập được đề cập trong lộ trình nhưng không nằm trong phạm vi triển khai của đề tài.</w:t>
      </w:r>
    </w:p>
    <w:p>
      <w:pPr>
        <w:spacing w:line="288" w:lineRule="auto"/>
        <w:ind w:firstLine="567"/>
        <w:jc w:val="both"/>
      </w:pPr>
      <w:r>
        <w:rPr>
          <w:rFonts w:ascii="Times New Roman" w:hAnsi="Times New Roman" w:eastAsia="Times New Roman"/>
          <w:b w:val="0"/>
          <w:i w:val="0"/>
          <w:sz w:val="26"/>
        </w:rPr>
        <w:t>Bối cảnh chuyên ngành của đề tài thuộc lĩnh vực Công nghệ phần mềm với trọng tâm vào kiến trúc microservice cloud-native, multi-tenant SaaS, ứng dụng AI sinh nội dung trong sản phẩm thương mại, và tuân thủ pháp luật về dữ liệu cá nhân. Bốn yếu tố này hội tụ tạo nên một đề tài có giá trị thực tiễn — phục vụ trực tiếp khoảng 50.000 trung tâm giáo dục tư nhân Việt Nam — đồng thời mang tính học thuật khi đặt ra các quyết định kỹ thuật cần đánh đổi giữa chi phí hạ tầng, tốc độ phát triển, chất lượng đầu ra và yêu cầu pháp lý.</w:t>
      </w:r>
    </w:p>
    <w:p>
      <w:pPr>
        <w:spacing w:line="288" w:lineRule="auto"/>
        <w:ind w:firstLine="567"/>
        <w:jc w:val="both"/>
      </w:pPr>
      <w:r>
        <w:rPr>
          <w:rFonts w:ascii="Times New Roman" w:hAnsi="Times New Roman" w:eastAsia="Times New Roman"/>
          <w:b w:val="0"/>
          <w:i w:val="0"/>
          <w:sz w:val="26"/>
        </w:rPr>
        <w:t>Lý do chọn đề tài xuất phát từ ba quan sát thực tế thị trường. Thứ nhất, phân khúc trung tâm giáo dục tư nhân Việt Nam đang tăng trưởng mạnh sau Thông tư 29/2024/TT-BGDĐT [1] công nhận hợp pháp hoạt động dạy thêm có thu phí, nhưng phần lớn vẫn dùng Excel kết hợp Zalo nhóm để quản lý vì các phần mềm hiện có hoặc quá phức tạp, hoặc chi phí cao, hoặc thiếu UX tiếng Việt thân thiện. Thứ hai, Luật Bảo vệ Dữ liệu Cá nhân năm 2023 [9] sẽ có hiệu lực từ tháng 7 năm 2026, đặt ra deadline pháp lý cứng cho các đơn vị xử lý dữ liệu cá nhân — đây là cơ hội đưa ra sản phẩm có compliance tích hợp từ thiết kế thay vì retrofit về sau. Thứ ba, các tiến bộ về mô hình AI sinh ảnh giai đoạn 2023-2025 (Stable Diffusion XL, DALL-E 3) lần đầu cho phép tự động hóa các tác vụ branding với chi phí hợp lý, mở ra cơ hội tích hợp AI vào sản phẩm phần mềm thương mại tier thấp.</w:t>
      </w:r>
    </w:p>
    <w:p>
      <w:pPr>
        <w:spacing w:line="288" w:lineRule="auto"/>
        <w:ind w:firstLine="567"/>
        <w:jc w:val="both"/>
      </w:pPr>
      <w:r>
        <w:rPr>
          <w:rFonts w:ascii="Times New Roman" w:hAnsi="Times New Roman" w:eastAsia="Times New Roman"/>
          <w:b w:val="0"/>
          <w:i w:val="0"/>
          <w:sz w:val="26"/>
        </w:rPr>
        <w:t>Mục tiêu cụ thể của đề tài bao gồm bốn nhóm. Mục tiêu chức năng yêu cầu xây dựng một nền tảng SaaS đa-tenant hoàn chỉnh với onboarding wizard, AI Branding, quản lý lifecycle tenant và compliance built-in. Mục tiêu phi chức năng yêu cầu đáp ứng các tiêu chí về hiệu năng (p95 ≤ 500 ms cho API trung bình), bảo mật (Row-Level Security tại tầng database, OWASP Top 10 baseline), khả năng mở rộng (multi-tenant cô lập schema-level, hỗ trợ tối thiểu 100 tenant trên 1 instance) và quan sát được (logs tập trung, metrics dashboard, alert real-time). Mục tiêu pháp lý yêu cầu nền tảng tuân thủ ba văn bản pháp luật then chốt PDPL 2023, Luật An ninh mạng 2018, và Thông tư 78/2021/TT-BTC. Mục tiêu phương pháp luận yêu cầu áp dụng các nguyên tắc Quality-Driven Development phù hợp với quy mô đề tài và deadline pháp lý cứng PDPL 2023.</w:t>
      </w:r>
    </w:p>
    <w:p>
      <w:pPr>
        <w:spacing w:line="288" w:lineRule="auto"/>
        <w:ind w:firstLine="567"/>
        <w:jc w:val="both"/>
      </w:pPr>
      <w:r>
        <w:rPr>
          <w:rFonts w:ascii="Times New Roman" w:hAnsi="Times New Roman" w:eastAsia="Times New Roman"/>
          <w:b w:val="0"/>
          <w:i w:val="0"/>
          <w:sz w:val="26"/>
        </w:rPr>
        <w:t>Phương pháp triển khai đề tài kết hợp ba cách tiếp cận. Tiếp cận theo iteration ngắn được áp dụng cho phát triển chức năng, mỗi iteration kéo dài 1-3 ngày bao gồm các bước design, implementation, testing, review và merge. Tiếp cận test-first được áp dụng cho mọi tính năng mới — unit test và integration test viết trước hoặc song song với implementation. Tiếp cận quality-driven meta-governance được áp dụng cho process: mọi sai lệch phát hiện đều chuyển hóa thành rule có enforcement tự động, mọi audit finding đều được track qua gap file kèm acceptance criteria — chi tiết các trụ cột này được trình bày trong Chương 1 mục 1.6.</w:t>
      </w:r>
    </w:p>
    <w:p>
      <w:pPr>
        <w:spacing w:line="288" w:lineRule="auto"/>
        <w:ind w:firstLine="567"/>
        <w:jc w:val="both"/>
      </w:pPr>
      <w:r>
        <w:rPr>
          <w:rFonts w:ascii="Times New Roman" w:hAnsi="Times New Roman" w:eastAsia="Times New Roman"/>
          <w:b w:val="0"/>
          <w:i w:val="0"/>
          <w:sz w:val="26"/>
        </w:rPr>
        <w:t>Các tham khảo chính của đề tài bao gồm: các văn bản pháp luật Việt Nam (PDPL 2023 [9], Luật An ninh mạng 2018 [10], Nghị định 13/2023/NĐ-CP [18], Nghị định 53/2022/NĐ-CP [11], Thông tư 78/2021/TT-BTC [20], Thông tư 29/2024/TT-BGDĐT [1]); các báo cáo thị trường edu Việt Nam (Magenest 2024 [2], 6Wresearch [3], VECITA Kinh tế Số 2024 [4]); các nghiên cứu nền tảng về AI sinh ảnh (Stable Diffusion XL [13], GPT-3 few-shot [12], LLaVA visual instruction [14]); các phương pháp luận phần mềm cổ điển (Deming PDCA [21], Beck TDD [16], Poppendieck Lean [22], IEEE 730-2014 SQA [23], OWASP Top 10 [19]); và tài liệu kỹ thuật của các sản phẩm tham khảo (MISA AMIS [5], Mona eLMS [6], Easy Edu [7], DotB [8]).</w:t>
      </w:r>
    </w:p>
    <w:p>
      <w:pPr>
        <w:pStyle w:val="Heading2"/>
      </w:pPr>
      <w:r>
        <w:rPr>
          <w:rFonts w:ascii="Times New Roman" w:hAnsi="Times New Roman" w:eastAsia="Times New Roman"/>
          <w:b/>
          <w:color w:val="000000"/>
          <w:sz w:val="32"/>
        </w:rPr>
        <w:t>1.2 Bài toán</w:t>
      </w:r>
    </w:p>
    <w:p>
      <w:pPr>
        <w:pStyle w:val="Heading3"/>
      </w:pPr>
      <w:r>
        <w:rPr>
          <w:rFonts w:ascii="Times New Roman" w:hAnsi="Times New Roman" w:eastAsia="Times New Roman"/>
          <w:b/>
          <w:color w:val="000000"/>
          <w:sz w:val="28"/>
        </w:rPr>
        <w:t>1.2.1 Bối cảnh thị trường giáo dục SaaS Việt Nam</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hướng đến trường công lập K-12), hoặc thiếu UX tiếng Việt (LMS quốc tế như Moodle, Canvas), hoặc chi phí cao không phù hợp với phân khúc trung tâm tự phát (Speed Manager, EduCom với mức 50-100 USD/tháng/cơ sở).</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pStyle w:val="Heading3"/>
      </w:pPr>
      <w:r>
        <w:rPr>
          <w:rFonts w:ascii="Times New Roman" w:hAnsi="Times New Roman" w:eastAsia="Times New Roman"/>
          <w:b/>
          <w:color w:val="000000"/>
          <w:sz w:val="28"/>
        </w:rPr>
        <w:t>1.2.2 BeeClass — phần mềm quản lý trung tâm tiếng Anh phổ biến</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[25] là sản phẩm phần mềm quản lý trung tâm ngoại ngữ phổ biến tại thị trường Việt Nam, được vận hành bởi nhóm phát triển trong nước, định vị phục vụ các trung tâm tiếng Anh quy mô vừa. Sản phẩm cung cấp các module quản lý học viên, lớp học, điểm danh, học phí, gửi thông báo cho phụ huynh qua Zalo và email, kèm dashboard tổng quan doanh thu cho chủ trung tâm. Theo thông tin công bố trên website chính thức [25] (truy cập ngày 20/05/2026), BeeClass có hàng trăm trung tâm khách hàng tại nhiều tỉnh thành.</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phần mềm quản lý trung tâm tiếng Anh phổ biến tại Việt Nam</w:t>
      </w:r>
    </w:p>
    <w:p>
      <w:pPr>
        <w:spacing w:line="288" w:lineRule="auto"/>
        <w:ind w:firstLine="567"/>
        <w:jc w:val="both"/>
      </w:pPr>
      <w:r>
        <w:rPr>
          <w:rFonts w:ascii="Times New Roman" w:hAnsi="Times New Roman" w:eastAsia="Times New Roman"/>
          <w:b w:val="0"/>
          <w:i/>
          <w:sz w:val="26"/>
        </w:rPr>
        <w:t>Nguồn: https://beeclass.com, truy cập ngày 20/05/2026.</w:t>
      </w:r>
    </w:p>
    <w:p>
      <w:pPr>
        <w:spacing w:line="288" w:lineRule="auto"/>
        <w:ind w:firstLine="567"/>
        <w:jc w:val="both"/>
      </w:pPr>
      <w:r>
        <w:rPr>
          <w:rFonts w:ascii="Times New Roman" w:hAnsi="Times New Roman" w:eastAsia="Times New Roman"/>
          <w:b w:val="0"/>
          <w:i w:val="0"/>
          <w:sz w:val="26"/>
        </w:rPr>
        <w:t>Thế mạnh chính của BeeClass là giao diện tiếng Việt thân thiện và hỗ trợ workflow đặc thù của trung tâm tiếng Anh (lịch lớp định kỳ theo tuần, đăng ký lớp thử miễn phí, theo dõi tiến độ học viên theo từng kỹ năng nghe-nói-đọc-viết). Mức giá tham khảo công bố nằm trong khoảng 1-3 triệu đồng/tháng tùy gói và số lượng học viên. Điểm yếu chính của BeeClass tương tự các sản phẩm trong phân khúc: kiến trúc single-tenant theo từng trung tâm (mỗi khách hàng có instance database riêng, khó mở rộng khi trung tâm mở chi nhánh thứ 5 trở lên); chưa có tính năng AI sinh tài nguyên branding; onboarding yêu cầu liên hệ bộ phận kinh doanh chứ chưa hoàn toàn tự phục vụ; mức giá tuy phải chăng hơn các sản phẩm enterprise nhưng vẫn cao hơn mức 500.000đ/tháng mà phân khúc trung tâm tự phát nhỏ kỳ vọng.</w:t>
      </w:r>
    </w:p>
    <w:p>
      <w:pPr>
        <w:pStyle w:val="Heading3"/>
      </w:pPr>
      <w:r>
        <w:rPr>
          <w:rFonts w:ascii="Times New Roman" w:hAnsi="Times New Roman" w:eastAsia="Times New Roman"/>
          <w:b/>
          <w:color w:val="000000"/>
          <w:sz w:val="28"/>
        </w:rPr>
        <w:t>1.2.3 MISA AMIS Trường Học — sản phẩm B2B trường công lập</w:t>
      </w:r>
    </w:p>
    <w:p>
      <w:pPr>
        <w:spacing w:line="288" w:lineRule="auto"/>
        <w:ind w:firstLine="567"/>
        <w:jc w:val="both"/>
      </w:pPr>
      <w:r>
        <w:rPr>
          <w:rFonts w:ascii="Times New Roman" w:hAnsi="Times New Roman" w:eastAsia="Times New Roman"/>
          <w:b w:val="0"/>
          <w:i/>
          <w:sz w:val="26"/>
        </w:rPr>
        <w:t>MISA AMIS Trường Học</w:t>
      </w:r>
      <w:r>
        <w:rPr>
          <w:rFonts w:ascii="Times New Roman" w:hAnsi="Times New Roman" w:eastAsia="Times New Roman"/>
          <w:b w:val="0"/>
          <w:i w:val="0"/>
          <w:sz w:val="26"/>
        </w:rPr>
        <w:t xml:space="preserve"> [5] là sản phẩm giáo dục của công ty phần mềm MISA — một trong những công ty phần mềm Việt Nam lâu đời nhất với hơn 25 năm hoạt động trong lĩnh vực kế toán và thuế. Theo số liệu công bố trên website chính thức [5] (truy cập ngày 20/05/2026), sản phẩm MISA EMIS đã triển khai tại hơn 30.000 trường tiểu học và trung học cơ sở công lập toàn quốc, phục vụ hơn 12 triệu học sinh.</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isa-amis-truong-hoc.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sản phẩm MISA EMIS — sản phẩm B2B phục vụ trường công lập của công ty MISA</w:t>
      </w:r>
    </w:p>
    <w:p>
      <w:pPr>
        <w:spacing w:line="288" w:lineRule="auto"/>
        <w:ind w:firstLine="567"/>
        <w:jc w:val="both"/>
      </w:pPr>
      <w:r>
        <w:rPr>
          <w:rFonts w:ascii="Times New Roman" w:hAnsi="Times New Roman" w:eastAsia="Times New Roman"/>
          <w:b w:val="0"/>
          <w:i/>
          <w:sz w:val="26"/>
        </w:rPr>
        <w:t>Nguồn: https://emis.misa.vn, truy cập ngày 20/05/2026.</w:t>
      </w:r>
    </w:p>
    <w:p>
      <w:pPr>
        <w:spacing w:line="288" w:lineRule="auto"/>
        <w:ind w:firstLine="567"/>
        <w:jc w:val="both"/>
      </w:pPr>
      <w:r>
        <w:rPr>
          <w:rFonts w:ascii="Times New Roman" w:hAnsi="Times New Roman" w:eastAsia="Times New Roman"/>
          <w:b w:val="0"/>
          <w:i w:val="0"/>
          <w:sz w:val="26"/>
        </w:rPr>
        <w:t>Thế mạnh chính của MISA AMIS Trường Học là tích hợp sâu với MISA MeInvoice (hóa đơn điện tử theo Thông tư 78/2021/TT-BTC) và mạng lưới phân phối qua hệ thống đại lý tại 63 tỉnh thành. Điểm yếu: định vị B2B trường công lập với chu kỳ bán hàng 3-6 tháng, phí thiết lập 50-200 triệu đồng và mức giá 2-5 triệu/tháng/trường, không phù hợp với trung tâm tự phát quy mô nhỏ cần triển khai nhanh.</w:t>
      </w:r>
    </w:p>
    <w:p>
      <w:pPr>
        <w:pStyle w:val="Heading3"/>
      </w:pPr>
      <w:r>
        <w:rPr>
          <w:rFonts w:ascii="Times New Roman" w:hAnsi="Times New Roman" w:eastAsia="Times New Roman"/>
          <w:b/>
          <w:color w:val="000000"/>
          <w:sz w:val="28"/>
        </w:rPr>
        <w:t>1.2.4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mona-elms.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1.2.5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easy-edu.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single-tenant theo từng trung tâm (khó mở rộng nhượng quyền), không có khả năng tự sinh tài nguyên branding bằng AI, onboarding yêu cầu liên hệ bộ phận kinh doanh chứ chưa tự phục vụ.</w:t>
      </w:r>
    </w:p>
    <w:p>
      <w:pPr>
        <w:pStyle w:val="Heading3"/>
      </w:pPr>
      <w:r>
        <w:rPr>
          <w:rFonts w:ascii="Times New Roman" w:hAnsi="Times New Roman" w:eastAsia="Times New Roman"/>
          <w:b/>
          <w:color w:val="000000"/>
          <w:sz w:val="28"/>
        </w:rPr>
        <w:t>1.2.6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dotb.png"/>
                    <pic:cNvPicPr/>
                  </pic:nvPicPr>
                  <pic:blipFill>
                    <a:blip r:embed="rId14"/>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1.5</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1.2.7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người dùng cuối (end-user) dựa trên các báo cáo ngành công khai. Phân tích này giúp xác định những tính năng cốt lõi cần ưu tiên trong giai đoạn đầu của hệ thống đề xuất.</w:t>
      </w:r>
    </w:p>
    <w:p>
      <w:pPr>
        <w:spacing w:line="288" w:lineRule="auto"/>
        <w:ind w:firstLine="567"/>
        <w:jc w:val="both"/>
      </w:pPr>
      <w:r>
        <w:rPr>
          <w:rFonts w:ascii="Times New Roman" w:hAnsi="Times New Roman" w:eastAsia="Times New Roman"/>
          <w:b w:val="0"/>
          <w:i/>
          <w:sz w:val="26"/>
        </w:rPr>
        <w:t>Chủ trung tâm (Owner):</w:t>
      </w:r>
      <w:r>
        <w:rPr>
          <w:rFonts w:ascii="Times New Roman" w:hAnsi="Times New Roman" w:eastAsia="Times New Roman"/>
          <w:b w:val="0"/>
          <w:i w:val="0"/>
          <w:sz w:val="26"/>
        </w:rPr>
        <w:t xml:space="preserve"> theo các báo cáo Magenest 2024 [2] và 6Wresearch 2024 [3] (cả hai truy cập ngày 20/05/2026), chủ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đa-persona (multi-persona)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1.2.8 Bảng so sánh tổng hợp</w:t>
      </w:r>
    </w:p>
    <w:p>
      <w:pPr>
        <w:spacing w:line="288" w:lineRule="auto"/>
        <w:ind w:firstLine="567"/>
        <w:jc w:val="both"/>
      </w:pPr>
      <w:r>
        <w:rPr>
          <w:rFonts w:ascii="Times New Roman" w:hAnsi="Times New Roman" w:eastAsia="Times New Roman"/>
          <w:b w:val="0"/>
          <w:i w:val="0"/>
          <w:sz w:val="26"/>
        </w:rPr>
        <w:t>Bảng tổng hợp so sánh năm hệ thống tham khảo với hệ thống đề xuất trong đề tài theo các tiêu chí quan trọng: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Tiêu chí</w:t>
            </w:r>
          </w:p>
        </w:tc>
        <w:tc>
          <w:tcPr>
            <w:tcW w:type="dxa" w:w="1234"/>
          </w:tcPr>
          <w:p>
            <w:pPr>
              <w:jc w:val="center"/>
            </w:pPr>
            <w:r>
              <w:rPr>
                <w:b/>
                <w:sz w:val="24"/>
              </w:rPr>
            </w:r>
            <w:r>
              <w:rPr>
                <w:rFonts w:ascii="Times New Roman" w:hAnsi="Times New Roman" w:eastAsia="Times New Roman"/>
                <w:b/>
                <w:i w:val="0"/>
                <w:sz w:val="24"/>
              </w:rPr>
              <w:t>BeeClass</w:t>
            </w:r>
          </w:p>
        </w:tc>
        <w:tc>
          <w:tcPr>
            <w:tcW w:type="dxa" w:w="1234"/>
          </w:tcPr>
          <w:p>
            <w:pPr>
              <w:jc w:val="center"/>
            </w:pPr>
            <w:r>
              <w:rPr>
                <w:b/>
                <w:sz w:val="24"/>
              </w:rPr>
            </w:r>
            <w:r>
              <w:rPr>
                <w:rFonts w:ascii="Times New Roman" w:hAnsi="Times New Roman" w:eastAsia="Times New Roman"/>
                <w:b/>
                <w:i w:val="0"/>
                <w:sz w:val="24"/>
              </w:rPr>
              <w:t>MISA AMIS</w:t>
            </w:r>
          </w:p>
        </w:tc>
        <w:tc>
          <w:tcPr>
            <w:tcW w:type="dxa" w:w="1234"/>
          </w:tcPr>
          <w:p>
            <w:pPr>
              <w:jc w:val="center"/>
            </w:pPr>
            <w:r>
              <w:rPr>
                <w:b/>
                <w:sz w:val="24"/>
              </w:rPr>
            </w:r>
            <w:r>
              <w:rPr>
                <w:rFonts w:ascii="Times New Roman" w:hAnsi="Times New Roman" w:eastAsia="Times New Roman"/>
                <w:b/>
                <w:i w:val="0"/>
                <w:sz w:val="24"/>
              </w:rPr>
              <w:t>Mona eLMS</w:t>
            </w:r>
          </w:p>
        </w:tc>
        <w:tc>
          <w:tcPr>
            <w:tcW w:type="dxa" w:w="1234"/>
          </w:tcPr>
          <w:p>
            <w:pPr>
              <w:jc w:val="center"/>
            </w:pPr>
            <w:r>
              <w:rPr>
                <w:b/>
                <w:sz w:val="24"/>
              </w:rPr>
            </w:r>
            <w:r>
              <w:rPr>
                <w:rFonts w:ascii="Times New Roman" w:hAnsi="Times New Roman" w:eastAsia="Times New Roman"/>
                <w:b/>
                <w:i w:val="0"/>
                <w:sz w:val="24"/>
              </w:rPr>
              <w:t>Easy Edu</w:t>
            </w:r>
          </w:p>
        </w:tc>
        <w:tc>
          <w:tcPr>
            <w:tcW w:type="dxa" w:w="1234"/>
          </w:tcPr>
          <w:p>
            <w:pPr>
              <w:jc w:val="center"/>
            </w:pPr>
            <w:r>
              <w:rPr>
                <w:b/>
                <w:sz w:val="24"/>
              </w:rPr>
            </w:r>
            <w:r>
              <w:rPr>
                <w:rFonts w:ascii="Times New Roman" w:hAnsi="Times New Roman" w:eastAsia="Times New Roman"/>
                <w:b/>
                <w:i w:val="0"/>
                <w:sz w:val="24"/>
              </w:rPr>
              <w:t>DotB</w:t>
            </w:r>
          </w:p>
        </w:tc>
        <w:tc>
          <w:tcPr>
            <w:tcW w:type="dxa" w:w="1234"/>
          </w:tcPr>
          <w:p>
            <w:pPr>
              <w:jc w:val="center"/>
            </w:pPr>
            <w:r>
              <w:rPr>
                <w:b/>
                <w:sz w:val="24"/>
              </w:rPr>
            </w:r>
            <w:r>
              <w:rPr>
                <w:rFonts w:ascii="Times New Roman" w:hAnsi="Times New Roman" w:eastAsia="Times New Roman"/>
                <w:b/>
                <w:i w:val="0"/>
                <w:sz w:val="24"/>
              </w:rPr>
              <w:t>Hệ thống đề xuất</w:t>
            </w:r>
          </w:p>
        </w:tc>
      </w:tr>
      <w:tr>
        <w:tc>
          <w:tcPr>
            <w:tcW w:type="dxa" w:w="1234"/>
          </w:tcPr>
          <w:p>
            <w:r>
              <w:rPr>
                <w:sz w:val="24"/>
              </w:rPr>
            </w:r>
            <w:r>
              <w:rPr>
                <w:rFonts w:ascii="Times New Roman" w:hAnsi="Times New Roman" w:eastAsia="Times New Roman"/>
                <w:b w:val="0"/>
                <w:i w:val="0"/>
                <w:sz w:val="24"/>
              </w:rPr>
              <w:t>Persona mục tiêu</w:t>
            </w:r>
          </w:p>
        </w:tc>
        <w:tc>
          <w:tcPr>
            <w:tcW w:type="dxa" w:w="1234"/>
          </w:tcPr>
          <w:p>
            <w:r>
              <w:rPr>
                <w:sz w:val="24"/>
              </w:rPr>
            </w:r>
            <w:r>
              <w:rPr>
                <w:rFonts w:ascii="Times New Roman" w:hAnsi="Times New Roman" w:eastAsia="Times New Roman"/>
                <w:b w:val="0"/>
                <w:i w:val="0"/>
                <w:sz w:val="24"/>
              </w:rPr>
              <w:t>Trung tâm tiếng Anh</w:t>
            </w:r>
          </w:p>
        </w:tc>
        <w:tc>
          <w:tcPr>
            <w:tcW w:type="dxa" w:w="1234"/>
          </w:tcPr>
          <w:p>
            <w:r>
              <w:rPr>
                <w:sz w:val="24"/>
              </w:rPr>
            </w:r>
            <w:r>
              <w:rPr>
                <w:rFonts w:ascii="Times New Roman" w:hAnsi="Times New Roman" w:eastAsia="Times New Roman"/>
                <w:b w:val="0"/>
                <w:i w:val="0"/>
                <w:sz w:val="24"/>
              </w:rPr>
              <w:t>Trường K-12 công lập</w:t>
            </w:r>
          </w:p>
        </w:tc>
        <w:tc>
          <w:tcPr>
            <w:tcW w:type="dxa" w:w="1234"/>
          </w:tcPr>
          <w:p>
            <w:r>
              <w:rPr>
                <w:sz w:val="24"/>
              </w:rPr>
            </w:r>
            <w:r>
              <w:rPr>
                <w:rFonts w:ascii="Times New Roman" w:hAnsi="Times New Roman" w:eastAsia="Times New Roman"/>
                <w:b w:val="0"/>
                <w:i w:val="0"/>
                <w:sz w:val="24"/>
              </w:rPr>
              <w:t>Trung tâm ngoại ngữ</w:t>
            </w:r>
          </w:p>
        </w:tc>
        <w:tc>
          <w:tcPr>
            <w:tcW w:type="dxa" w:w="1234"/>
          </w:tcPr>
          <w:p>
            <w:r>
              <w:rPr>
                <w:sz w:val="24"/>
              </w:rPr>
            </w:r>
            <w:r>
              <w:rPr>
                <w:rFonts w:ascii="Times New Roman" w:hAnsi="Times New Roman" w:eastAsia="Times New Roman"/>
                <w:b w:val="0"/>
                <w:i w:val="0"/>
                <w:sz w:val="24"/>
              </w:rPr>
              <w:t>Trung tâm ngoại ngữ nhỏ</w:t>
            </w:r>
          </w:p>
        </w:tc>
        <w:tc>
          <w:tcPr>
            <w:tcW w:type="dxa" w:w="1234"/>
          </w:tcPr>
          <w:p>
            <w:r>
              <w:rPr>
                <w:sz w:val="24"/>
              </w:rPr>
            </w:r>
            <w:r>
              <w:rPr>
                <w:rFonts w:ascii="Times New Roman" w:hAnsi="Times New Roman" w:eastAsia="Times New Roman"/>
                <w:b w:val="0"/>
                <w:i w:val="0"/>
                <w:sz w:val="24"/>
              </w:rPr>
              <w:t>Trung tâm tầm trung</w:t>
            </w:r>
          </w:p>
        </w:tc>
        <w:tc>
          <w:tcPr>
            <w:tcW w:type="dxa" w:w="1234"/>
          </w:tcPr>
          <w:p>
            <w:r>
              <w:rPr>
                <w:sz w:val="24"/>
              </w:rPr>
            </w:r>
            <w:r>
              <w:rPr>
                <w:rFonts w:ascii="Times New Roman" w:hAnsi="Times New Roman" w:eastAsia="Times New Roman"/>
                <w:b w:val="0"/>
                <w:i w:val="0"/>
                <w:sz w:val="24"/>
              </w:rPr>
              <w:t>Trung tâm nhỏ và vừa</w:t>
            </w:r>
          </w:p>
        </w:tc>
      </w:tr>
      <w:tr>
        <w:tc>
          <w:tcPr>
            <w:tcW w:type="dxa" w:w="1234"/>
          </w:tcPr>
          <w:p>
            <w:r>
              <w:rPr>
                <w:sz w:val="24"/>
              </w:rPr>
            </w:r>
            <w:r>
              <w:rPr>
                <w:rFonts w:ascii="Times New Roman" w:hAnsi="Times New Roman" w:eastAsia="Times New Roman"/>
                <w:b w:val="0"/>
                <w:i w:val="0"/>
                <w:sz w:val="24"/>
              </w:rPr>
              <w:t>Khoảng giá (đ/tháng)</w:t>
            </w:r>
          </w:p>
        </w:tc>
        <w:tc>
          <w:tcPr>
            <w:tcW w:type="dxa" w:w="1234"/>
          </w:tcPr>
          <w:p>
            <w:r>
              <w:rPr>
                <w:sz w:val="24"/>
              </w:rPr>
            </w:r>
            <w:r>
              <w:rPr>
                <w:rFonts w:ascii="Times New Roman" w:hAnsi="Times New Roman" w:eastAsia="Times New Roman"/>
                <w:b w:val="0"/>
                <w:i w:val="0"/>
                <w:sz w:val="24"/>
              </w:rPr>
              <w:t>1-3 triệu</w:t>
            </w:r>
          </w:p>
        </w:tc>
        <w:tc>
          <w:tcPr>
            <w:tcW w:type="dxa" w:w="1234"/>
          </w:tcPr>
          <w:p>
            <w:r>
              <w:rPr>
                <w:sz w:val="24"/>
              </w:rPr>
            </w:r>
            <w:r>
              <w:rPr>
                <w:rFonts w:ascii="Times New Roman" w:hAnsi="Times New Roman" w:eastAsia="Times New Roman"/>
                <w:b w:val="0"/>
                <w:i w:val="0"/>
                <w:sz w:val="24"/>
              </w:rPr>
              <w:t>2-5 triệu + 50-200 triệu thiết lập</w:t>
            </w:r>
          </w:p>
        </w:tc>
        <w:tc>
          <w:tcPr>
            <w:tcW w:type="dxa" w:w="1234"/>
          </w:tcPr>
          <w:p>
            <w:r>
              <w:rPr>
                <w:sz w:val="24"/>
              </w:rPr>
            </w:r>
            <w:r>
              <w:rPr>
                <w:rFonts w:ascii="Times New Roman" w:hAnsi="Times New Roman" w:eastAsia="Times New Roman"/>
                <w:b w:val="0"/>
                <w:i w:val="0"/>
                <w:sz w:val="24"/>
              </w:rPr>
              <w:t>1,5-5 triệu</w:t>
            </w:r>
          </w:p>
        </w:tc>
        <w:tc>
          <w:tcPr>
            <w:tcW w:type="dxa" w:w="1234"/>
          </w:tcPr>
          <w:p>
            <w:r>
              <w:rPr>
                <w:sz w:val="24"/>
              </w:rPr>
            </w:r>
            <w:r>
              <w:rPr>
                <w:rFonts w:ascii="Times New Roman" w:hAnsi="Times New Roman" w:eastAsia="Times New Roman"/>
                <w:b w:val="0"/>
                <w:i w:val="0"/>
                <w:sz w:val="24"/>
              </w:rPr>
              <w:t>800.000-3 triệu</w:t>
            </w:r>
          </w:p>
        </w:tc>
        <w:tc>
          <w:tcPr>
            <w:tcW w:type="dxa" w:w="1234"/>
          </w:tcPr>
          <w:p>
            <w:r>
              <w:rPr>
                <w:sz w:val="24"/>
              </w:rPr>
            </w:r>
            <w:r>
              <w:rPr>
                <w:rFonts w:ascii="Times New Roman" w:hAnsi="Times New Roman" w:eastAsia="Times New Roman"/>
                <w:b w:val="0"/>
                <w:i w:val="0"/>
                <w:sz w:val="24"/>
              </w:rPr>
              <w:t>3-8 triệu</w:t>
            </w:r>
          </w:p>
        </w:tc>
        <w:tc>
          <w:tcPr>
            <w:tcW w:type="dxa" w:w="1234"/>
          </w:tcPr>
          <w:p>
            <w:r>
              <w:rPr>
                <w:sz w:val="24"/>
              </w:rPr>
            </w:r>
            <w:r>
              <w:rPr>
                <w:rFonts w:ascii="Times New Roman" w:hAnsi="Times New Roman" w:eastAsia="Times New Roman"/>
                <w:b w:val="0"/>
                <w:i w:val="0"/>
                <w:sz w:val="24"/>
              </w:rPr>
              <w:t>500.000-1.500.000</w:t>
            </w:r>
          </w:p>
        </w:tc>
      </w:tr>
      <w:tr>
        <w:tc>
          <w:tcPr>
            <w:tcW w:type="dxa" w:w="1234"/>
          </w:tcPr>
          <w:p>
            <w:r>
              <w:rPr>
                <w:sz w:val="24"/>
              </w:rPr>
            </w:r>
            <w:r>
              <w:rPr>
                <w:rFonts w:ascii="Times New Roman" w:hAnsi="Times New Roman" w:eastAsia="Times New Roman"/>
                <w:b w:val="0"/>
                <w:i w:val="0"/>
                <w:sz w:val="24"/>
              </w:rPr>
              <w:t>Kiến trúc multi-tenant gốc</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AI Branding tự sinh</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Onboarding tự phục vụ</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(đại lý)</w:t>
            </w:r>
          </w:p>
        </w:tc>
        <w:tc>
          <w:tcPr>
            <w:tcW w:type="dxa" w:w="1234"/>
          </w:tcPr>
          <w:p>
            <w:r>
              <w:rPr>
                <w:sz w:val="24"/>
              </w:rPr>
            </w:r>
            <w:r>
              <w:rPr>
                <w:rFonts w:ascii="Times New Roman" w:hAnsi="Times New Roman" w:eastAsia="Times New Roman"/>
                <w:b w:val="0"/>
                <w:i w:val="0"/>
                <w:sz w:val="24"/>
              </w:rPr>
              <w:t>Không (báo giá)</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Không (liên hệ)</w:t>
            </w:r>
          </w:p>
        </w:tc>
        <w:tc>
          <w:tcPr>
            <w:tcW w:type="dxa" w:w="1234"/>
          </w:tcPr>
          <w:p>
            <w:r>
              <w:rPr>
                <w:sz w:val="24"/>
              </w:rPr>
            </w:r>
            <w:r>
              <w:rPr>
                <w:rFonts w:ascii="Times New Roman" w:hAnsi="Times New Roman" w:eastAsia="Times New Roman"/>
                <w:b w:val="0"/>
                <w:i w:val="0"/>
                <w:sz w:val="24"/>
              </w:rPr>
              <w:t>Có (1-2 ngày)</w:t>
            </w:r>
          </w:p>
        </w:tc>
      </w:tr>
      <w:tr>
        <w:tc>
          <w:tcPr>
            <w:tcW w:type="dxa" w:w="1234"/>
          </w:tcPr>
          <w:p>
            <w:r>
              <w:rPr>
                <w:sz w:val="24"/>
              </w:rPr>
            </w:r>
            <w:r>
              <w:rPr>
                <w:rFonts w:ascii="Times New Roman" w:hAnsi="Times New Roman" w:eastAsia="Times New Roman"/>
                <w:b w:val="0"/>
                <w:i w:val="0"/>
                <w:sz w:val="24"/>
              </w:rPr>
              <w:t>Ứng dụng di động native</w:t>
            </w:r>
          </w:p>
        </w:tc>
        <w:tc>
          <w:tcPr>
            <w:tcW w:type="dxa" w:w="1234"/>
          </w:tcPr>
          <w:p>
            <w:r>
              <w:rPr>
                <w:sz w:val="24"/>
              </w:rPr>
            </w:r>
            <w:r>
              <w:rPr>
                <w:rFonts w:ascii="Times New Roman" w:hAnsi="Times New Roman" w:eastAsia="Times New Roman"/>
                <w:b w:val="0"/>
                <w:i w:val="0"/>
                <w:sz w:val="24"/>
              </w:rPr>
              <w:t>Phiên bản sau</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Tích hợp Zalo ZNS</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(native)</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Cổng thanh toán built-in</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(MISA Wallet)</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Có (3 cổng)</w:t>
            </w:r>
          </w:p>
        </w:tc>
        <w:tc>
          <w:tcPr>
            <w:tcW w:type="dxa" w:w="1234"/>
          </w:tcPr>
          <w:p>
            <w:r>
              <w:rPr>
                <w:sz w:val="24"/>
              </w:rPr>
            </w:r>
            <w:r>
              <w:rPr>
                <w:rFonts w:ascii="Times New Roman" w:hAnsi="Times New Roman" w:eastAsia="Times New Roman"/>
                <w:b w:val="0"/>
                <w:i w:val="0"/>
                <w:sz w:val="24"/>
              </w:rPr>
              <w:t>Phiên bản sau</w:t>
            </w:r>
          </w:p>
        </w:tc>
      </w:tr>
      <w:tr>
        <w:tc>
          <w:tcPr>
            <w:tcW w:type="dxa" w:w="1234"/>
          </w:tcPr>
          <w:p>
            <w:r>
              <w:rPr>
                <w:sz w:val="24"/>
              </w:rPr>
            </w:r>
            <w:r>
              <w:rPr>
                <w:rFonts w:ascii="Times New Roman" w:hAnsi="Times New Roman" w:eastAsia="Times New Roman"/>
                <w:b w:val="0"/>
                <w:i w:val="0"/>
                <w:sz w:val="24"/>
              </w:rPr>
              <w:t>Tuân thủ PDPL 2023 built-in</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Đang triển khai</w:t>
            </w:r>
          </w:p>
        </w:tc>
        <w:tc>
          <w:tcPr>
            <w:tcW w:type="dxa" w:w="1234"/>
          </w:tcPr>
          <w:p>
            <w:r>
              <w:rPr>
                <w:sz w:val="24"/>
              </w:rPr>
            </w:r>
            <w:r>
              <w:rPr>
                <w:rFonts w:ascii="Times New Roman" w:hAnsi="Times New Roman" w:eastAsia="Times New Roman"/>
                <w:b w:val="0"/>
                <w:i w:val="0"/>
                <w:sz w:val="24"/>
              </w:rPr>
              <w:t>Có</w:t>
            </w:r>
          </w:p>
        </w:tc>
        <w:tc>
          <w:tcPr>
            <w:tcW w:type="dxa" w:w="1234"/>
          </w:tcPr>
          <w:p>
            <w:r>
              <w:rPr>
                <w:sz w:val="24"/>
              </w:rPr>
            </w:r>
            <w:r>
              <w:rPr>
                <w:rFonts w:ascii="Times New Roman" w:hAnsi="Times New Roman" w:eastAsia="Times New Roman"/>
                <w:b w:val="0"/>
                <w:i w:val="0"/>
                <w:sz w:val="24"/>
              </w:rPr>
              <w:t>Có (từ ngày đầu)</w:t>
            </w:r>
          </w:p>
        </w:tc>
      </w:tr>
      <w:tr>
        <w:tc>
          <w:tcPr>
            <w:tcW w:type="dxa" w:w="1234"/>
          </w:tcPr>
          <w:p>
            <w:r>
              <w:rPr>
                <w:sz w:val="24"/>
              </w:rPr>
            </w:r>
            <w:r>
              <w:rPr>
                <w:rFonts w:ascii="Times New Roman" w:hAnsi="Times New Roman" w:eastAsia="Times New Roman"/>
                <w:b w:val="0"/>
                <w:i w:val="0"/>
                <w:sz w:val="24"/>
              </w:rPr>
              <w:t>Hệ sinh thái OpenAPI / webhook</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Hạn chế</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Không</w:t>
            </w:r>
          </w:p>
        </w:tc>
        <w:tc>
          <w:tcPr>
            <w:tcW w:type="dxa" w:w="1234"/>
          </w:tcPr>
          <w:p>
            <w:r>
              <w:rPr>
                <w:sz w:val="24"/>
              </w:rPr>
            </w:r>
            <w:r>
              <w:rPr>
                <w:rFonts w:ascii="Times New Roman" w:hAnsi="Times New Roman" w:eastAsia="Times New Roman"/>
                <w:b w:val="0"/>
                <w:i w:val="0"/>
                <w:sz w:val="24"/>
              </w:rPr>
              <w:t>Có (hạn chế)</w:t>
            </w:r>
          </w:p>
        </w:tc>
        <w:tc>
          <w:tcPr>
            <w:tcW w:type="dxa" w:w="1234"/>
          </w:tcPr>
          <w:p>
            <w:r>
              <w:rPr>
                <w:sz w:val="24"/>
              </w:rPr>
            </w:r>
            <w:r>
              <w:rPr>
                <w:rFonts w:ascii="Times New Roman" w:hAnsi="Times New Roman" w:eastAsia="Times New Roman"/>
                <w:b w:val="0"/>
                <w:i w:val="0"/>
                <w:sz w:val="24"/>
              </w:rPr>
              <w:t>Có</w:t>
            </w:r>
          </w:p>
        </w:tc>
      </w:tr>
      <w:tr>
        <w:tc>
          <w:tcPr>
            <w:tcW w:type="dxa" w:w="1234"/>
          </w:tcPr>
          <w:p>
            <w:r>
              <w:rPr>
                <w:sz w:val="24"/>
              </w:rPr>
            </w:r>
            <w:r>
              <w:rPr>
                <w:rFonts w:ascii="Times New Roman" w:hAnsi="Times New Roman" w:eastAsia="Times New Roman"/>
                <w:b w:val="0"/>
                <w:i w:val="0"/>
                <w:sz w:val="24"/>
              </w:rPr>
              <w:t>Khác biệt cốt lõi</w:t>
            </w:r>
          </w:p>
        </w:tc>
        <w:tc>
          <w:tcPr>
            <w:tcW w:type="dxa" w:w="1234"/>
          </w:tcPr>
          <w:p>
            <w:r>
              <w:rPr>
                <w:sz w:val="24"/>
              </w:rPr>
            </w:r>
            <w:r>
              <w:rPr>
                <w:rFonts w:ascii="Times New Roman" w:hAnsi="Times New Roman" w:eastAsia="Times New Roman"/>
                <w:b w:val="0"/>
                <w:i w:val="0"/>
                <w:sz w:val="24"/>
              </w:rPr>
              <w:t>UX trung tâm tiếng Anh</w:t>
            </w:r>
          </w:p>
        </w:tc>
        <w:tc>
          <w:tcPr>
            <w:tcW w:type="dxa" w:w="1234"/>
          </w:tcPr>
          <w:p>
            <w:r>
              <w:rPr>
                <w:sz w:val="24"/>
              </w:rPr>
            </w:r>
            <w:r>
              <w:rPr>
                <w:rFonts w:ascii="Times New Roman" w:hAnsi="Times New Roman" w:eastAsia="Times New Roman"/>
                <w:b w:val="0"/>
                <w:i w:val="0"/>
                <w:sz w:val="24"/>
              </w:rPr>
              <w:t>Tích hợp kế toán MISA</w:t>
            </w:r>
          </w:p>
        </w:tc>
        <w:tc>
          <w:tcPr>
            <w:tcW w:type="dxa" w:w="1234"/>
          </w:tcPr>
          <w:p>
            <w:r>
              <w:rPr>
                <w:sz w:val="24"/>
              </w:rPr>
            </w:r>
            <w:r>
              <w:rPr>
                <w:rFonts w:ascii="Times New Roman" w:hAnsi="Times New Roman" w:eastAsia="Times New Roman"/>
                <w:b w:val="0"/>
                <w:i w:val="0"/>
                <w:sz w:val="24"/>
              </w:rPr>
              <w:t>App di động + Zalo</w:t>
            </w:r>
          </w:p>
        </w:tc>
        <w:tc>
          <w:tcPr>
            <w:tcW w:type="dxa" w:w="1234"/>
          </w:tcPr>
          <w:p>
            <w:r>
              <w:rPr>
                <w:sz w:val="24"/>
              </w:rPr>
            </w:r>
            <w:r>
              <w:rPr>
                <w:rFonts w:ascii="Times New Roman" w:hAnsi="Times New Roman" w:eastAsia="Times New Roman"/>
                <w:b w:val="0"/>
                <w:i w:val="0"/>
                <w:sz w:val="24"/>
              </w:rPr>
              <w:t>Phân phối rộng</w:t>
            </w:r>
          </w:p>
        </w:tc>
        <w:tc>
          <w:tcPr>
            <w:tcW w:type="dxa" w:w="1234"/>
          </w:tcPr>
          <w:p>
            <w:r>
              <w:rPr>
                <w:sz w:val="24"/>
              </w:rPr>
            </w:r>
            <w:r>
              <w:rPr>
                <w:rFonts w:ascii="Times New Roman" w:hAnsi="Times New Roman" w:eastAsia="Times New Roman"/>
                <w:b w:val="0"/>
                <w:i w:val="0"/>
                <w:sz w:val="24"/>
              </w:rPr>
              <w:t>CRM + thanh toán</w:t>
            </w:r>
          </w:p>
        </w:tc>
        <w:tc>
          <w:tcPr>
            <w:tcW w:type="dxa" w:w="1234"/>
          </w:tcPr>
          <w:p>
            <w:r>
              <w:rPr>
                <w:sz w:val="24"/>
              </w:rPr>
            </w:r>
            <w:r>
              <w:rPr>
                <w:rFonts w:ascii="Times New Roman" w:hAnsi="Times New Roman" w:eastAsia="Times New Roman"/>
                <w:b w:val="0"/>
                <w:i w:val="0"/>
                <w:sz w:val="24"/>
              </w:rPr>
              <w:t>Multi-tenant + AI Branding</w:t>
            </w:r>
          </w:p>
        </w:tc>
      </w:tr>
    </w:tbl>
    <w:p/>
    <w:p>
      <w:pPr>
        <w:pStyle w:val="Heading3"/>
      </w:pPr>
      <w:r>
        <w:rPr>
          <w:rFonts w:ascii="Times New Roman" w:hAnsi="Times New Roman" w:eastAsia="Times New Roman"/>
          <w:b/>
          <w:color w:val="000000"/>
          <w:sz w:val="28"/>
        </w:rPr>
        <w:t>1.2.9 Định vị hệ thống đề xuất và yếu tố khác biệt</w:t>
      </w:r>
    </w:p>
    <w:p>
      <w:pPr>
        <w:spacing w:line="288" w:lineRule="auto"/>
        <w:ind w:firstLine="567"/>
        <w:jc w:val="both"/>
      </w:pPr>
      <w:r>
        <w:rPr>
          <w:rFonts w:ascii="Times New Roman" w:hAnsi="Times New Roman" w:eastAsia="Times New Roman"/>
          <w:b w:val="0"/>
          <w:i w:val="0"/>
          <w:sz w:val="26"/>
        </w:rPr>
        <w:t>Dựa trên phân tích năm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multi-tenant gốc:</w:t>
      </w:r>
      <w:r>
        <w:rPr>
          <w:rFonts w:ascii="Times New Roman" w:hAnsi="Times New Roman" w:eastAsia="Times New Roman"/>
          <w:b w:val="0"/>
          <w:i w:val="0"/>
          <w:sz w:val="26"/>
        </w:rPr>
        <w:t xml:space="preserve"> cả năm hệ thống tham khảo đều dùng triển khai single-tenant với mỗi khách hàng tương ứng một instance cơ sở dữ liệu riêng. Khi trung tâm mở rộng lên năm chi nhánh trở lên, chủ trung tâm phải cấp phát thêm instance, đồng bộ dữ liệu thủ công và sao chép cấu hình. Hệ thống đề xuất sử dụng kiến trúc multi-tenant gốc với cô lập ở mức cơ sở dữ liệu (schema-per-tenant), cho phép một trung tâm có 100 chi nhánh trên cùng một instance, tiết kiệm khoảng 80% chi phí hạ tầng khi mở rộng.</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trung tâm mới khai trương thường tốn 2-5 triệu đồng thuê thiết kế viên cho logo, banner và hero image marketing. AI Branding của hệ thống đề xuất tự động sinh các tài nguyên này từ prompt văn bản và màu thương hiệu, giảm thời gian sẵn sàng vận hành từ 1-2 tuần xuống còn vài giờ.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built-in:</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tích hợp tuân thủ ngay từ thiết kế ban đầu thay vì bổ sung sau. Trong khi đó, Mona eLMS, Easy Edu và BeeClass đang trong quá trình triển khai PDPL; DotB và MISA AMIS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1.2.10 Cơ hội và rủi ro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product-led growth (PLG) có thể bắt đầu từ phân khúc này và mở rộng lên cao hơn khi sản phẩm trưởng thành. Thời hạn PDPL 2026-07-01 yêu cầu hơn 50.000 trung tâm phải tuân thủ trong khoảng bảy tuần (đến cuối tháng 6/2026), tạo lợi thế cạnh tranh tại thời điểm vàng cho hệ thống đề xuất với tuân thủ built-in. Bên cạnh đó, mô hình nhượng quyền (Apollo English, ILA, Wall Street English) đang phát triển — kiến trúc multi-tenant phù hợp với lộ trình mở rộng nhượng quyền tốt hơn so với kiến trúc single-tenant.</w:t>
      </w:r>
    </w:p>
    <w:p>
      <w:pPr>
        <w:spacing w:line="288" w:lineRule="auto"/>
        <w:ind w:firstLine="567"/>
        <w:jc w:val="both"/>
      </w:pPr>
      <w:r>
        <w:rPr>
          <w:rFonts w:ascii="Times New Roman" w:hAnsi="Times New Roman" w:eastAsia="Times New Roman"/>
          <w:b w:val="0"/>
          <w:i/>
          <w:sz w:val="26"/>
        </w:rPr>
        <w:t>Rủi ro chính:</w:t>
      </w:r>
      <w:r>
        <w:rPr>
          <w:rFonts w:ascii="Times New Roman" w:hAnsi="Times New Roman" w:eastAsia="Times New Roman"/>
          <w:b w:val="0"/>
          <w:i w:val="0"/>
          <w:sz w:val="26"/>
        </w:rPr>
        <w:t xml:space="preserve"> việc lùi ứng dụng di động native và tích hợp Zalo ZNS sang các phiên bản sau có rủi ro mất khách so với Mona eLMS và Easy Edu vốn đã có ứng dụng native — giải pháp giảm thiểu là web responsive kết hợp Zalo group chat trong phiên bản đầu, ưu tiên ứng dụng native ở phiên bản kế tiếp. Cổng thanh toán cũng là điểm yếu khi DotB có sẵn ba cổng tích hợp — phiên bản đầu của hệ thống đề xuất sử dụng chuyển khoản ngân hàng kết hợp VietQR (không cần cổng), phiên bản kế tiếp hợp tác với một cổng chính (VNPay). Cuối cùng, nhận diện thương hiệu là rào cản khi MISA và Easy Edu có hơn 5 năm hiện diện thị trường trong khi hệ thống đề xuất mới ra mắt — giải pháp giảm thiểu là tiếp cận PLG, marketing nội dung tiếng Việt và chương trình người dùng tiên phong với các trung tâm beta.</w:t>
      </w:r>
    </w:p>
    <w:p>
      <w:pPr>
        <w:pStyle w:val="Heading3"/>
      </w:pPr>
      <w:r>
        <w:rPr>
          <w:rFonts w:ascii="Times New Roman" w:hAnsi="Times New Roman" w:eastAsia="Times New Roman"/>
          <w:b/>
          <w:color w:val="000000"/>
          <w:sz w:val="28"/>
        </w:rPr>
        <w:t>1.2.11 Phạm vi đề tài và lộ trình triển khai</w:t>
      </w:r>
    </w:p>
    <w:p>
      <w:pPr>
        <w:spacing w:line="288" w:lineRule="auto"/>
        <w:ind w:firstLine="567"/>
        <w:jc w:val="both"/>
      </w:pPr>
      <w:r>
        <w:rPr>
          <w:rFonts w:ascii="Times New Roman" w:hAnsi="Times New Roman" w:eastAsia="Times New Roman"/>
          <w:b w:val="0"/>
          <w:i w:val="0"/>
          <w:sz w:val="26"/>
        </w:rPr>
        <w:t>Đề tài chia thành các giai đoạn triển khai để cân bằng giữa độ phức tạp kỹ thuật, ngưỡng tuân thủ pháp lý và quy mô thị trường mục tiêu. Giai đoạn thử nghiệm tenant gồm vận hành thử với khoảng 5-10 tenant pilot tại các trung tâm thí điểm, tập trung kiểm chứng onboarding wizard, AI Branding, kiến trúc multi-tenant và compliance baseline; phạm vi triển khai trong giai đoạn này không thu phí và chấp nhận chính sách giảm thiểu chi phí hạ tầng. Giai đoạn thanh toán thử nghiệm mở rộng tenant cohort lên 30-50 trung tâm với chính sách thu phí giới thiệu thấp hơn giá niêm yết, mục đích chính là validation pricing model, onboarding flow chính thức và hệ thống thanh toán chuyển khoản kèm đối soát tự động; giai đoạn này tích hợp eInvoice qua partnership với nhà cung cấp được Tổng cục Thuế cấp phép. Giai đoạn vận hành chính thức mở cho mọi trung tâm tự đăng ký không qua quy trình mời, đi kèm SLA cam kết uptime ≥99,5% và bổ sung các kênh hỗ trợ (live chat, Zalo OA support), ứng dụng di động native cho học viên và phụ huynh, đa cổng thanh toán tích hợp. Giai đoạn K-12 expansion mở rộng sang phân khúc trường công lập và tư thục cấp 1-2 với yêu cầu bổ nhiệm DPO chính thức, DPIA cho dữ liệu trẻ em theo Luật Bảo vệ Dữ liệu Cá nhân Điều 17 và Điều 26, hợp tác với Bộ Giáo dục và Đào tạo cùng các sở/phòng giáo dục địa phương cho phân phối.</w:t>
      </w:r>
    </w:p>
    <w:p>
      <w:pPr>
        <w:spacing w:line="288" w:lineRule="auto"/>
        <w:ind w:firstLine="567"/>
        <w:jc w:val="both"/>
      </w:pPr>
      <w:r>
        <w:rPr>
          <w:rFonts w:ascii="Times New Roman" w:hAnsi="Times New Roman" w:eastAsia="Times New Roman"/>
          <w:b w:val="0"/>
          <w:i w:val="0"/>
          <w:sz w:val="26"/>
        </w:rPr>
        <w:t>Phạm vi triển khai của đề tài chủ yếu tập trung vào giai đoạn thử nghiệm tenant readiness — bao gồm core onboarding wizard, AI Branding tự động, quản lý lifecycle tenant đầy đủ, và compliance pháp luật Việt Nam (PDPL, Cybersecurity, eInvoice baseline). Các giai đoạn thanh toán thử nghiệm, vận hành chính thức và K-12 expansion được trình bày làm roadmap kỹ thuật nhưng không nằm trong phạm vi triển khai thực tế của đề tài. Việc tách giai đoạn này phù hợp với phương pháp luận MVP (Minimum Viable Product) trong khởi nghiệp phần mềm — ship sản phẩm tối giản đáp ứng nhu cầu cốt lõi của persona ưu tiên trước, sau đó mở rộng dần các tính năng nâng cao theo phản hồi thị trường.</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§2.3.4)</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mặc định cho giai đoạn thử nghiệm thủ công; tích hợp MoMo/VNPay theo lộ trình giai đoạn vận hành chính thức</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 xml:space="preserve">Quản trị nền tảng có dashboard </w:t>
      </w:r>
      <w:r>
        <w:rPr>
          <w:rFonts w:ascii="Times New Roman" w:hAnsi="Times New Roman" w:eastAsia="Times New Roman"/>
          <w:b w:val="0"/>
          <w:i/>
          <w:sz w:val="26"/>
        </w:rPr>
        <w:t>/admin/v1/revenue</w:t>
      </w:r>
      <w:r>
        <w:rPr>
          <w:rFonts w:ascii="Times New Roman" w:hAnsi="Times New Roman" w:eastAsia="Times New Roman"/>
          <w:b w:val="0"/>
          <w:i w:val="0"/>
          <w:sz w:val="26"/>
        </w:rPr>
        <w:t xml:space="preserve"> để xem doanh thu, MRR, tỷ lệ churn</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MiniMax (môi trường vận hành) hoặc Ollama (môi trường phát triển); quota lưu trong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Domain gửi email được xác thực DKIM theo tenant (gói PRO) thì thư gửi từ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CSV/Excel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qua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w:t>
      </w:r>
      <w:r>
        <w:rPr>
          <w:rFonts w:ascii="Times New Roman" w:hAnsi="Times New Roman" w:eastAsia="Times New Roman"/>
          <w:b w:val="0"/>
          <w:i/>
          <w:sz w:val="26"/>
        </w:rPr>
        <w:t>attendance_period</w:t>
      </w:r>
      <w:r>
        <w:rPr>
          <w:rFonts w:ascii="Times New Roman" w:hAnsi="Times New Roman" w:eastAsia="Times New Roman"/>
          <w:b w:val="0"/>
          <w:i w:val="0"/>
          <w:sz w:val="26"/>
        </w:rPr>
        <w:t xml:space="preserve"> (mỗi buổi học), trạng thái Có/Vắng/Nghỉ phép</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xuất bảng điểm theo </w:t>
      </w:r>
      <w:r>
        <w:rPr>
          <w:rFonts w:ascii="Times New Roman" w:hAnsi="Times New Roman" w:eastAsia="Times New Roman"/>
          <w:b w:val="0"/>
          <w:i/>
          <w:sz w:val="26"/>
        </w:rPr>
        <w:t>grading_scales</w:t>
      </w:r>
      <w:r>
        <w:rPr>
          <w:rFonts w:ascii="Times New Roman" w:hAnsi="Times New Roman" w:eastAsia="Times New Roman"/>
          <w:b w:val="0"/>
          <w:i w:val="0"/>
          <w:sz w:val="26"/>
        </w:rPr>
        <w:t xml:space="preserve"> (thang 10); báo cáo cuối kỳ HK1/HK2/HK_Hè</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theo dõi chuyển khoản/tiền mặt, xuất hóa đơn điện tử VAT tích hợp với MISA MeInvoice</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tích hợp Zalo OA mở rộng giai đoạn vận hành chính thức</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w:t>
      </w:r>
      <w:r>
        <w:rPr>
          <w:rFonts w:ascii="Times New Roman" w:hAnsi="Times New Roman" w:eastAsia="Times New Roman"/>
          <w:b w:val="0"/>
          <w:i/>
          <w:sz w:val="26"/>
        </w:rPr>
        <w:t>/api/impersonate/start</w:t>
      </w:r>
      <w:r>
        <w:rPr>
          <w:rFonts w:ascii="Times New Roman" w:hAnsi="Times New Roman" w:eastAsia="Times New Roman"/>
          <w:b w:val="0"/>
          <w:i w:val="0"/>
          <w:sz w:val="26"/>
        </w:rPr>
        <w:t xml:space="preserve"> — quản trị đăng nhập with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của giai đoạn thử nghiệm)</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Tác giả đặt mục tiêu hiệu năng cho giai đoạn thử nghiệm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giai đoạn vận hành chính thức,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của giai đoạn thử nghiệm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[25].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giai đoạn đầu</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giai đoạn vận hành chính thức,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giai đoạn vận hành chính thức.</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(MiniMax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ở giai đoạn thử nghiệm:</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giai đoạn thử nghiệm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giai đoạn vận hành chính thức: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Giai đoạn thử nghiệm: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Giai đoạn vận hành chính thức: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giai đoạn vận hành chính thức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Giai đoạn thử nghiệm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MiniMax vận hành ~$0.001/yêu cầu</w:t>
      </w:r>
    </w:p>
    <w:p>
      <w:pPr>
        <w:pStyle w:val="ListBullet"/>
        <w:spacing w:line="288" w:lineRule="auto"/>
        <w:ind w:left="850" w:hanging="283"/>
      </w:pPr>
      <w:r>
        <w:rPr>
          <w:rFonts w:ascii="Times New Roman" w:hAnsi="Times New Roman" w:eastAsia="Times New Roman"/>
          <w:b/>
          <w:i w:val="0"/>
          <w:sz w:val="26"/>
        </w:rPr>
        <w:t>Tổng chi phí ước tính giai đoạn thử nghiệm: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em chọn mô hình single-bucket multi-tenant với RLS (Pattern 4) thay vì per-tenant DB (Pattern 1) — chênh lệch chi phí khoảng 20× và chi phí vận hành tăng tuyến tính theo số tenant, không phù hợp với phân khúc trung tâm SMB ở giai đoạn thử nghiệm (chi tiết §2.2.3).</w:t>
      </w:r>
    </w:p>
    <w:p>
      <w:pPr>
        <w:pStyle w:val="Heading3"/>
      </w:pPr>
      <w:r>
        <w:rPr>
          <w:rFonts w:ascii="Times New Roman" w:hAnsi="Times New Roman" w:eastAsia="Times New Roman"/>
          <w:b/>
          <w:color w:val="000000"/>
          <w:sz w:val="28"/>
        </w:rPr>
        <w:t>2.1.3 Bối cảnh thị trường mục tiêu</w:t>
      </w:r>
    </w:p>
    <w:p>
      <w:pPr>
        <w:spacing w:line="288" w:lineRule="auto"/>
        <w:ind w:firstLine="567"/>
        <w:jc w:val="both"/>
      </w:pPr>
      <w:r>
        <w:rPr>
          <w:rFonts w:ascii="Times New Roman" w:hAnsi="Times New Roman" w:eastAsia="Times New Roman"/>
          <w:b/>
          <w:i w:val="0"/>
          <w:sz w:val="26"/>
        </w:rPr>
        <w:t>Mô hình B-learning Việt Nam.</w:t>
      </w:r>
      <w:r>
        <w:rPr>
          <w:rFonts w:ascii="Times New Roman" w:hAnsi="Times New Roman" w:eastAsia="Times New Roman"/>
          <w:b w:val="0"/>
          <w:i w:val="0"/>
          <w:sz w:val="26"/>
        </w:rPr>
        <w:t xml:space="preserve"> Trung tâm dạy thêm tại Việt Nam vận hành theo mô hình học thêm sau giờ chính khóa và cuối tuần — phân biệt với trường công lập chính khóa. Thị trường mục tiêu của đồ án là các trung tâm vừa và nhỏ với 50-500 học sinh; phạm vi K-12 trường công có lớp tuân thủ pháp lý riêng (DPO, DPIA, kiểm tra an ninh) được lùi sang giai đoạn vận hành chính thức.</w:t>
      </w:r>
    </w:p>
    <w:p>
      <w:pPr>
        <w:spacing w:line="288" w:lineRule="auto"/>
        <w:ind w:firstLine="567"/>
        <w:jc w:val="both"/>
      </w:pPr>
      <w:r>
        <w:rPr>
          <w:rFonts w:ascii="Times New Roman" w:hAnsi="Times New Roman" w:eastAsia="Times New Roman"/>
          <w:b w:val="0"/>
          <w:i w:val="0"/>
          <w:sz w:val="26"/>
        </w:rPr>
        <w:t xml:space="preserve">Đặc điểm B-learning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2-7 từ 17:00-21:00; thứ 7-CN 8:00-17:00) — bảng </w:t>
      </w:r>
      <w:r>
        <w:rPr>
          <w:rFonts w:ascii="Times New Roman" w:hAnsi="Times New Roman" w:eastAsia="Times New Roman"/>
          <w:b w:val="0"/>
          <w:i/>
          <w:sz w:val="26"/>
        </w:rPr>
        <w:t>class_schedule_slots</w:t>
      </w:r>
      <w:r>
        <w:rPr>
          <w:rFonts w:ascii="Times New Roman" w:hAnsi="Times New Roman" w:eastAsia="Times New Roman"/>
          <w:b w:val="0"/>
          <w:i w:val="0"/>
          <w:sz w:val="26"/>
        </w:rPr>
        <w:t xml:space="preserve"> mặc định cấu hình 6 ngày/tuần. Niên khóa 9-5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HK1 (9-12), HK2 (1-5), HK_Hè (6-8). Mẹ là đầu mối liên lạc chính cho việc học của con (~60%), bố dự phòng (35%), ông bà (5%). Khung Tết Nguyên Đán nghỉ 7-10 ngày cuối tháng 1 — đầu tháng 2 yêu cầu cron tính phí bỏ qua. Giai đoạn thử nghiệm hỗ trợ email; tích hợp Zalo OA cho phụ huynh là lộ trình giai đoạn vận hành chính thức.</w:t>
      </w:r>
    </w:p>
    <w:p>
      <w:pPr>
        <w:spacing w:line="288" w:lineRule="auto"/>
        <w:ind w:firstLine="567"/>
        <w:jc w:val="both"/>
      </w:pPr>
      <w:r>
        <w:rPr>
          <w:rFonts w:ascii="Times New Roman" w:hAnsi="Times New Roman" w:eastAsia="Times New Roman"/>
          <w:b/>
          <w:i w:val="0"/>
          <w:sz w:val="26"/>
        </w:rPr>
        <w:t>Phân tích persona giai đoạn thử nghiệm.</w:t>
      </w:r>
      <w:r>
        <w:rPr>
          <w:rFonts w:ascii="Times New Roman" w:hAnsi="Times New Roman" w:eastAsia="Times New Roman"/>
          <w:b w:val="0"/>
          <w:i w:val="0"/>
          <w:sz w:val="26"/>
        </w:rPr>
        <w:t xml:space="preserve"> Đồ án tập trung 4 persona chính. </w:t>
      </w:r>
      <w:r>
        <w:rPr>
          <w:rFonts w:ascii="Times New Roman" w:hAnsi="Times New Roman" w:eastAsia="Times New Roman"/>
          <w:b/>
          <w:i w:val="0"/>
          <w:sz w:val="26"/>
        </w:rPr>
        <w:t>P1 Giáo viên độc lập</w:t>
      </w:r>
      <w:r>
        <w:rPr>
          <w:rFonts w:ascii="Times New Roman" w:hAnsi="Times New Roman" w:eastAsia="Times New Roman"/>
          <w:b w:val="0"/>
          <w:i w:val="0"/>
          <w:sz w:val="26"/>
        </w:rPr>
        <w:t xml:space="preserve"> (28 tuổi, 5-50 học sinh, dạy IELTS/Toán) — thay thế sổ tay giấy + Excel + Zalo thủ công, gói FREE đủ dùng. </w:t>
      </w:r>
      <w:r>
        <w:rPr>
          <w:rFonts w:ascii="Times New Roman" w:hAnsi="Times New Roman" w:eastAsia="Times New Roman"/>
          <w:b/>
          <w:i w:val="0"/>
          <w:sz w:val="26"/>
        </w:rPr>
        <w:t>P2 Chủ trung tâm</w:t>
      </w:r>
      <w:r>
        <w:rPr>
          <w:rFonts w:ascii="Times New Roman" w:hAnsi="Times New Roman" w:eastAsia="Times New Roman"/>
          <w:b w:val="0"/>
          <w:i w:val="0"/>
          <w:sz w:val="26"/>
        </w:rPr>
        <w:t xml:space="preserve"> (35 tuổi, 20-100 học sinh, 2-5 giáo viên) — thay 3 công cụ rời rạc bằng platform tích hợp, gói STARTER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Quản lý trung tâm</w:t>
      </w:r>
      <w:r>
        <w:rPr>
          <w:rFonts w:ascii="Times New Roman" w:hAnsi="Times New Roman" w:eastAsia="Times New Roman"/>
          <w:b w:val="0"/>
          <w:i w:val="0"/>
          <w:sz w:val="26"/>
        </w:rPr>
        <w:t xml:space="preserve"> (24 tuổi, 100-500 học sinh, 5-15 giáo viên) — cần bulk import CSV ~300 dòng, phân quyền theo vai trò (manager không thấy mục thanh toán), audit log, gói PRO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(giai đoạn thử nghiệm) + Zalo group cho cập nhật thường xuyên (giai đoạn vận hành chính thức); học sinh truy cập mobile chiếm 85% phiên.</w:t>
      </w:r>
    </w:p>
    <w:p>
      <w:pPr>
        <w:spacing w:line="288" w:lineRule="auto"/>
        <w:ind w:firstLine="567"/>
        <w:jc w:val="both"/>
      </w:pPr>
      <w:r>
        <w:rPr>
          <w:rFonts w:ascii="Times New Roman" w:hAnsi="Times New Roman" w:eastAsia="Times New Roman"/>
          <w:b/>
          <w:i w:val="0"/>
          <w:sz w:val="26"/>
        </w:rPr>
        <w:t>Đặc trưng thị trường giáo dục Việt Nam.</w:t>
      </w:r>
      <w:r>
        <w:rPr>
          <w:rFonts w:ascii="Times New Roman" w:hAnsi="Times New Roman" w:eastAsia="Times New Roman"/>
          <w:b w:val="0"/>
          <w:i w:val="0"/>
          <w:sz w:val="26"/>
        </w:rPr>
        <w:t xml:space="preserve"> Bảng 2.3 tổng hợp đặc trưng thị trường ảnh hưởng tới quyết định kiến trúc — locale mặc định </w:t>
      </w:r>
      <w:r>
        <w:rPr>
          <w:rFonts w:ascii="Times New Roman" w:hAnsi="Times New Roman" w:eastAsia="Times New Roman"/>
          <w:b w:val="0"/>
          <w:i/>
          <w:sz w:val="26"/>
        </w:rPr>
        <w:t>vi-VN</w:t>
      </w:r>
      <w:r>
        <w:rPr>
          <w:rFonts w:ascii="Times New Roman" w:hAnsi="Times New Roman" w:eastAsia="Times New Roman"/>
          <w:b w:val="0"/>
          <w:i w:val="0"/>
          <w:sz w:val="26"/>
        </w:rPr>
        <w:t>, ma trận xưng hô email phù hợp vai trò ("Em chào chị Hằng" trang trọng cho Owner, "Chào em" thân mật cho giáo viên độc lập).</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giáo dục Việt Nam và hệ quả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thiết kế</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Giai đoạn thử nghiệm VietQR; mở rộng VNPay/MoMo giai đoạn vận hành chính thức</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Schedule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Tích hợp Zalo OA cho phụ huynh là yêu cầu giai đoạn vận hành chính thức</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Cron tính phí + lịch lớp bỏ qua khung Tết</w:t>
            </w:r>
          </w:p>
        </w:tc>
      </w:tr>
    </w:tbl>
    <w:p/>
    <w:p>
      <w:pPr>
        <w:spacing w:line="288" w:lineRule="auto"/>
        <w:ind w:firstLine="567"/>
        <w:jc w:val="both"/>
      </w:pPr>
      <w:r>
        <w:rPr>
          <w:rFonts w:ascii="Times New Roman" w:hAnsi="Times New Roman" w:eastAsia="Times New Roman"/>
          <w:b/>
          <w:i w:val="0"/>
          <w:sz w:val="26"/>
        </w:rPr>
        <w:t>Định vị cạnh tranh.</w:t>
      </w:r>
      <w:r>
        <w:rPr>
          <w:rFonts w:ascii="Times New Roman" w:hAnsi="Times New Roman" w:eastAsia="Times New Roman"/>
          <w:b w:val="0"/>
          <w:i w:val="0"/>
          <w:sz w:val="26"/>
        </w:rPr>
        <w:t xml:space="preserve"> Tham khảo phân tích Chương 1, Kite Platform đối sánh với hệ thống tương tự trong nhóm SaaS giáo dục Việt Nam (Bảng 2.4).</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So sánh với hệ thống tương tự trong nhóm SaaS giáo dục Việt Nam</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Hệ thống tham khảo</w:t>
            </w:r>
          </w:p>
        </w:tc>
        <w:tc>
          <w:tcPr>
            <w:tcW w:type="dxa" w:w="1728"/>
          </w:tcPr>
          <w:p>
            <w:pPr>
              <w:jc w:val="center"/>
            </w:pPr>
            <w:r>
              <w:rPr>
                <w:b/>
                <w:sz w:val="24"/>
              </w:rPr>
            </w:r>
            <w:r>
              <w:rPr>
                <w:rFonts w:ascii="Times New Roman" w:hAnsi="Times New Roman" w:eastAsia="Times New Roman"/>
                <w:b/>
                <w:i w:val="0"/>
                <w:sz w:val="24"/>
              </w:rPr>
              <w:t>Đối tượng chính</w:t>
            </w:r>
          </w:p>
        </w:tc>
        <w:tc>
          <w:tcPr>
            <w:tcW w:type="dxa" w:w="1728"/>
          </w:tcPr>
          <w:p>
            <w:pPr>
              <w:jc w:val="center"/>
            </w:pPr>
            <w:r>
              <w:rPr>
                <w:b/>
                <w:sz w:val="24"/>
              </w:rPr>
            </w:r>
            <w:r>
              <w:rPr>
                <w:rFonts w:ascii="Times New Roman" w:hAnsi="Times New Roman" w:eastAsia="Times New Roman"/>
                <w:b/>
                <w:i w:val="0"/>
                <w:sz w:val="24"/>
              </w:rPr>
              <w:t>Mức phí</w:t>
            </w:r>
          </w:p>
        </w:tc>
        <w:tc>
          <w:tcPr>
            <w:tcW w:type="dxa" w:w="1728"/>
          </w:tcPr>
          <w:p>
            <w:pPr>
              <w:jc w:val="center"/>
            </w:pPr>
            <w:r>
              <w:rPr>
                <w:b/>
                <w:sz w:val="24"/>
              </w:rPr>
            </w:r>
            <w:r>
              <w:rPr>
                <w:rFonts w:ascii="Times New Roman" w:hAnsi="Times New Roman" w:eastAsia="Times New Roman"/>
                <w:b/>
                <w:i w:val="0"/>
                <w:sz w:val="24"/>
              </w:rPr>
              <w:t>Điểm mạnh</w:t>
            </w:r>
          </w:p>
        </w:tc>
        <w:tc>
          <w:tcPr>
            <w:tcW w:type="dxa" w:w="1728"/>
          </w:tcPr>
          <w:p>
            <w:pPr>
              <w:jc w:val="center"/>
            </w:pPr>
            <w:r>
              <w:rPr>
                <w:b/>
                <w:sz w:val="24"/>
              </w:rPr>
            </w:r>
            <w:r>
              <w:rPr>
                <w:rFonts w:ascii="Times New Roman" w:hAnsi="Times New Roman" w:eastAsia="Times New Roman"/>
                <w:b/>
                <w:i w:val="0"/>
                <w:sz w:val="24"/>
              </w:rPr>
              <w:t>Hướng tiếp cận của đồ án</w:t>
            </w:r>
          </w:p>
        </w:tc>
      </w:tr>
      <w:tr>
        <w:tc>
          <w:tcPr>
            <w:tcW w:type="dxa" w:w="1728"/>
          </w:tcPr>
          <w:p>
            <w:r>
              <w:rPr>
                <w:sz w:val="24"/>
              </w:rPr>
            </w:r>
            <w:r>
              <w:rPr>
                <w:rFonts w:ascii="Times New Roman" w:hAnsi="Times New Roman" w:eastAsia="Times New Roman"/>
                <w:b w:val="0"/>
                <w:i w:val="0"/>
                <w:sz w:val="24"/>
              </w:rPr>
              <w:t>MISA EMIS</w:t>
            </w:r>
          </w:p>
        </w:tc>
        <w:tc>
          <w:tcPr>
            <w:tcW w:type="dxa" w:w="1728"/>
          </w:tcPr>
          <w:p>
            <w:r>
              <w:rPr>
                <w:sz w:val="24"/>
              </w:rPr>
            </w:r>
            <w:r>
              <w:rPr>
                <w:rFonts w:ascii="Times New Roman" w:hAnsi="Times New Roman" w:eastAsia="Times New Roman"/>
                <w:b w:val="0"/>
                <w:i w:val="0"/>
                <w:sz w:val="24"/>
              </w:rPr>
              <w:t>Trường công + tư K-12</w:t>
            </w:r>
          </w:p>
        </w:tc>
        <w:tc>
          <w:tcPr>
            <w:tcW w:type="dxa" w:w="1728"/>
          </w:tcPr>
          <w:p>
            <w:r>
              <w:rPr>
                <w:sz w:val="24"/>
              </w:rPr>
            </w:r>
            <w:r>
              <w:rPr>
                <w:rFonts w:ascii="Times New Roman" w:hAnsi="Times New Roman" w:eastAsia="Times New Roman"/>
                <w:b w:val="0"/>
                <w:i w:val="0"/>
                <w:sz w:val="24"/>
              </w:rPr>
              <w:t>Báo giá doanh nghiệp</w:t>
            </w:r>
          </w:p>
        </w:tc>
        <w:tc>
          <w:tcPr>
            <w:tcW w:type="dxa" w:w="1728"/>
          </w:tcPr>
          <w:p>
            <w:r>
              <w:rPr>
                <w:sz w:val="24"/>
              </w:rPr>
            </w:r>
            <w:r>
              <w:rPr>
                <w:rFonts w:ascii="Times New Roman" w:hAnsi="Times New Roman" w:eastAsia="Times New Roman"/>
                <w:b w:val="0"/>
                <w:i w:val="0"/>
                <w:sz w:val="24"/>
              </w:rPr>
              <w:t>Tích hợp Bộ Giáo dục</w:t>
            </w:r>
          </w:p>
        </w:tc>
        <w:tc>
          <w:tcPr>
            <w:tcW w:type="dxa" w:w="1728"/>
          </w:tcPr>
          <w:p>
            <w:r>
              <w:rPr>
                <w:sz w:val="24"/>
              </w:rPr>
            </w:r>
            <w:r>
              <w:rPr>
                <w:rFonts w:ascii="Times New Roman" w:hAnsi="Times New Roman" w:eastAsia="Times New Roman"/>
                <w:b w:val="0"/>
                <w:i w:val="0"/>
                <w:sz w:val="24"/>
              </w:rPr>
              <w:t>Tập trung trung tâm dạy thêm SMB, không cạnh tranh K-12 ở giai đoạn thử nghiệm</w:t>
            </w:r>
          </w:p>
        </w:tc>
      </w:tr>
      <w:tr>
        <w:tc>
          <w:tcPr>
            <w:tcW w:type="dxa" w:w="1728"/>
          </w:tcPr>
          <w:p>
            <w:r>
              <w:rPr>
                <w:sz w:val="24"/>
              </w:rPr>
            </w:r>
            <w:r>
              <w:rPr>
                <w:rFonts w:ascii="Times New Roman" w:hAnsi="Times New Roman" w:eastAsia="Times New Roman"/>
                <w:b w:val="0"/>
                <w:i w:val="0"/>
                <w:sz w:val="24"/>
              </w:rPr>
              <w:t>Mona Media</w:t>
            </w:r>
          </w:p>
        </w:tc>
        <w:tc>
          <w:tcPr>
            <w:tcW w:type="dxa" w:w="1728"/>
          </w:tcPr>
          <w:p>
            <w:r>
              <w:rPr>
                <w:sz w:val="24"/>
              </w:rPr>
            </w:r>
            <w:r>
              <w:rPr>
                <w:rFonts w:ascii="Times New Roman" w:hAnsi="Times New Roman" w:eastAsia="Times New Roman"/>
                <w:b w:val="0"/>
                <w:i w:val="0"/>
                <w:sz w:val="24"/>
              </w:rPr>
              <w:t>Chuỗi trung tâm Anh ngữ</w:t>
            </w:r>
          </w:p>
        </w:tc>
        <w:tc>
          <w:tcPr>
            <w:tcW w:type="dxa" w:w="1728"/>
          </w:tcPr>
          <w:p>
            <w:r>
              <w:rPr>
                <w:sz w:val="24"/>
              </w:rPr>
            </w:r>
            <w:r>
              <w:rPr>
                <w:rFonts w:ascii="Times New Roman" w:hAnsi="Times New Roman" w:eastAsia="Times New Roman"/>
                <w:b w:val="0"/>
                <w:i/>
                <w:sz w:val="24"/>
              </w:rPr>
              <w:t>2-5 triệu/tháng</w:t>
            </w:r>
          </w:p>
        </w:tc>
        <w:tc>
          <w:tcPr>
            <w:tcW w:type="dxa" w:w="1728"/>
          </w:tcPr>
          <w:p>
            <w:r>
              <w:rPr>
                <w:sz w:val="24"/>
              </w:rPr>
            </w:r>
            <w:r>
              <w:rPr>
                <w:rFonts w:ascii="Times New Roman" w:hAnsi="Times New Roman" w:eastAsia="Times New Roman"/>
                <w:b w:val="0"/>
                <w:i w:val="0"/>
                <w:sz w:val="24"/>
              </w:rPr>
              <w:t>Marketing + CRM</w:t>
            </w:r>
          </w:p>
        </w:tc>
        <w:tc>
          <w:tcPr>
            <w:tcW w:type="dxa" w:w="1728"/>
          </w:tcPr>
          <w:p>
            <w:r>
              <w:rPr>
                <w:sz w:val="24"/>
              </w:rPr>
            </w:r>
            <w:r>
              <w:rPr>
                <w:rFonts w:ascii="Times New Roman" w:hAnsi="Times New Roman" w:eastAsia="Times New Roman"/>
                <w:b w:val="0"/>
                <w:i w:val="0"/>
                <w:sz w:val="24"/>
              </w:rPr>
              <w:t xml:space="preserve">Multi-tenant SaaS từ gốc + AI Branding + STARTER </w:t>
            </w:r>
            <w:r>
              <w:rPr>
                <w:rFonts w:ascii="Times New Roman" w:hAnsi="Times New Roman" w:eastAsia="Times New Roman"/>
                <w:b w:val="0"/>
                <w:i/>
                <w:sz w:val="24"/>
              </w:rPr>
              <w:t>500.000đ/tháng</w:t>
            </w:r>
            <w:r>
              <w:rPr>
                <w:rFonts w:ascii="Times New Roman" w:hAnsi="Times New Roman" w:eastAsia="Times New Roman"/>
                <w:b w:val="0"/>
                <w:i w:val="0"/>
                <w:sz w:val="24"/>
              </w:rPr>
              <w:t xml:space="preserve"> hợp lý</w:t>
            </w:r>
          </w:p>
        </w:tc>
      </w:tr>
      <w:tr>
        <w:tc>
          <w:tcPr>
            <w:tcW w:type="dxa" w:w="1728"/>
          </w:tcPr>
          <w:p>
            <w:r>
              <w:rPr>
                <w:sz w:val="24"/>
              </w:rPr>
            </w:r>
            <w:r>
              <w:rPr>
                <w:rFonts w:ascii="Times New Roman" w:hAnsi="Times New Roman" w:eastAsia="Times New Roman"/>
                <w:b w:val="0"/>
                <w:i w:val="0"/>
                <w:sz w:val="24"/>
              </w:rPr>
              <w:t>Easy Edu</w:t>
            </w:r>
          </w:p>
        </w:tc>
        <w:tc>
          <w:tcPr>
            <w:tcW w:type="dxa" w:w="1728"/>
          </w:tcPr>
          <w:p>
            <w:r>
              <w:rPr>
                <w:sz w:val="24"/>
              </w:rPr>
            </w:r>
            <w:r>
              <w:rPr>
                <w:rFonts w:ascii="Times New Roman" w:hAnsi="Times New Roman" w:eastAsia="Times New Roman"/>
                <w:b w:val="0"/>
                <w:i w:val="0"/>
                <w:sz w:val="24"/>
              </w:rPr>
              <w:t>Trung tâm vừa và nhỏ</w:t>
            </w:r>
          </w:p>
        </w:tc>
        <w:tc>
          <w:tcPr>
            <w:tcW w:type="dxa" w:w="1728"/>
          </w:tcPr>
          <w:p>
            <w:r>
              <w:rPr>
                <w:sz w:val="24"/>
              </w:rPr>
            </w:r>
            <w:r>
              <w:rPr>
                <w:rFonts w:ascii="Times New Roman" w:hAnsi="Times New Roman" w:eastAsia="Times New Roman"/>
                <w:b w:val="0"/>
                <w:i/>
                <w:sz w:val="24"/>
              </w:rPr>
              <w:t>1-3 triệu/tháng</w:t>
            </w:r>
          </w:p>
        </w:tc>
        <w:tc>
          <w:tcPr>
            <w:tcW w:type="dxa" w:w="1728"/>
          </w:tcPr>
          <w:p>
            <w:r>
              <w:rPr>
                <w:sz w:val="24"/>
              </w:rPr>
            </w:r>
            <w:r>
              <w:rPr>
                <w:rFonts w:ascii="Times New Roman" w:hAnsi="Times New Roman" w:eastAsia="Times New Roman"/>
                <w:b w:val="0"/>
                <w:i w:val="0"/>
                <w:sz w:val="24"/>
              </w:rPr>
              <w:t>Giao diện đơn giản</w:t>
            </w:r>
          </w:p>
        </w:tc>
        <w:tc>
          <w:tcPr>
            <w:tcW w:type="dxa" w:w="1728"/>
          </w:tcPr>
          <w:p>
            <w:r>
              <w:rPr>
                <w:sz w:val="24"/>
              </w:rPr>
            </w:r>
            <w:r>
              <w:rPr>
                <w:rFonts w:ascii="Times New Roman" w:hAnsi="Times New Roman" w:eastAsia="Times New Roman"/>
                <w:b w:val="0"/>
                <w:i w:val="0"/>
                <w:sz w:val="24"/>
              </w:rPr>
              <w:t>Bổ sung AI Branding + Zalo-native (giai đoạn vận hành chính thức) + RLS phòng thủ chiều sâu</w:t>
            </w:r>
          </w:p>
        </w:tc>
      </w:tr>
      <w:tr>
        <w:tc>
          <w:tcPr>
            <w:tcW w:type="dxa" w:w="1728"/>
          </w:tcPr>
          <w:p>
            <w:r>
              <w:rPr>
                <w:sz w:val="24"/>
              </w:rPr>
            </w:r>
            <w:r>
              <w:rPr>
                <w:rFonts w:ascii="Times New Roman" w:hAnsi="Times New Roman" w:eastAsia="Times New Roman"/>
                <w:b w:val="0"/>
                <w:i w:val="0"/>
                <w:sz w:val="24"/>
              </w:rPr>
              <w:t>DotB</w:t>
            </w:r>
          </w:p>
        </w:tc>
        <w:tc>
          <w:tcPr>
            <w:tcW w:type="dxa" w:w="1728"/>
          </w:tcPr>
          <w:p>
            <w:r>
              <w:rPr>
                <w:sz w:val="24"/>
              </w:rPr>
            </w:r>
            <w:r>
              <w:rPr>
                <w:rFonts w:ascii="Times New Roman" w:hAnsi="Times New Roman" w:eastAsia="Times New Roman"/>
                <w:b w:val="0"/>
                <w:i w:val="0"/>
                <w:sz w:val="24"/>
              </w:rPr>
              <w:t>Cả K-12 và trung tâm</w:t>
            </w:r>
          </w:p>
        </w:tc>
        <w:tc>
          <w:tcPr>
            <w:tcW w:type="dxa" w:w="1728"/>
          </w:tcPr>
          <w:p>
            <w:r>
              <w:rPr>
                <w:sz w:val="24"/>
              </w:rPr>
            </w:r>
            <w:r>
              <w:rPr>
                <w:rFonts w:ascii="Times New Roman" w:hAnsi="Times New Roman" w:eastAsia="Times New Roman"/>
                <w:b w:val="0"/>
                <w:i w:val="0"/>
                <w:sz w:val="24"/>
              </w:rPr>
              <w:t>Tùy biến</w:t>
            </w:r>
          </w:p>
        </w:tc>
        <w:tc>
          <w:tcPr>
            <w:tcW w:type="dxa" w:w="1728"/>
          </w:tcPr>
          <w:p>
            <w:r>
              <w:rPr>
                <w:sz w:val="24"/>
              </w:rPr>
            </w:r>
            <w:r>
              <w:rPr>
                <w:rFonts w:ascii="Times New Roman" w:hAnsi="Times New Roman" w:eastAsia="Times New Roman"/>
                <w:b w:val="0"/>
                <w:i w:val="0"/>
                <w:sz w:val="24"/>
              </w:rPr>
              <w:t>Toàn diện</w:t>
            </w:r>
          </w:p>
        </w:tc>
        <w:tc>
          <w:tcPr>
            <w:tcW w:type="dxa" w:w="1728"/>
          </w:tcPr>
          <w:p>
            <w:r>
              <w:rPr>
                <w:sz w:val="24"/>
              </w:rPr>
            </w:r>
            <w:r>
              <w:rPr>
                <w:rFonts w:ascii="Times New Roman" w:hAnsi="Times New Roman" w:eastAsia="Times New Roman"/>
                <w:b w:val="0"/>
                <w:i w:val="0"/>
                <w:sz w:val="24"/>
              </w:rPr>
              <w:t>Tập trung trung tâm dạy thêm theo chiều dọc, không cố cạnh tranh K-12</w:t>
            </w:r>
          </w:p>
        </w:tc>
      </w:tr>
    </w:tbl>
    <w:p/>
    <w:p>
      <w:pPr>
        <w:spacing w:line="288" w:lineRule="auto"/>
        <w:ind w:firstLine="567"/>
        <w:jc w:val="both"/>
      </w:pPr>
      <w:r>
        <w:rPr>
          <w:rFonts w:ascii="Times New Roman" w:hAnsi="Times New Roman" w:eastAsia="Times New Roman"/>
          <w:b w:val="0"/>
          <w:i w:val="0"/>
          <w:sz w:val="26"/>
        </w:rPr>
        <w:t xml:space="preserve">Định vị tổng quát: nền tảng SaaS đa tenant nguyên bản cho trung tâm dạy thêm SMB Việt Nam, AI-powered branding, giao tiếp Zalo-native (giai đoạn vận hành chính thức), mức giá khởi điểm </w:t>
      </w:r>
      <w:r>
        <w:rPr>
          <w:rFonts w:ascii="Times New Roman" w:hAnsi="Times New Roman" w:eastAsia="Times New Roman"/>
          <w:b w:val="0"/>
          <w:i/>
          <w:sz w:val="26"/>
        </w:rPr>
        <w:t>500.000đ/tháng</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275032"/>
            <wp:docPr id="7" name="Picture 7"/>
            <wp:cNvGraphicFramePr>
              <a:graphicFrameLocks noChangeAspect="1"/>
            </wp:cNvGraphicFramePr>
            <a:graphic>
              <a:graphicData uri="http://schemas.openxmlformats.org/drawingml/2006/picture">
                <pic:pic>
                  <pic:nvPicPr>
                    <pic:cNvPr id="0" name="mermaid-973d5e0c88ffff67.png"/>
                    <pic:cNvPicPr/>
                  </pic:nvPicPr>
                  <pic:blipFill>
                    <a:blip r:embed="rId15"/>
                    <a:stretch>
                      <a:fillRect/>
                    </a:stretch>
                  </pic:blipFill>
                  <pic:spPr>
                    <a:xfrm>
                      <a:off x="0" y="0"/>
                      <a:ext cx="5760000" cy="4275032"/>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3802097"/>
            <wp:docPr id="8" name="Picture 8"/>
            <wp:cNvGraphicFramePr>
              <a:graphicFrameLocks noChangeAspect="1"/>
            </wp:cNvGraphicFramePr>
            <a:graphic>
              <a:graphicData uri="http://schemas.openxmlformats.org/drawingml/2006/picture">
                <pic:pic>
                  <pic:nvPicPr>
                    <pic:cNvPr id="0" name="mermaid-ada1d35fbb9cdd11.png"/>
                    <pic:cNvPicPr/>
                  </pic:nvPicPr>
                  <pic:blipFill>
                    <a:blip r:embed="rId16"/>
                    <a:stretch>
                      <a:fillRect/>
                    </a:stretch>
                  </pic:blipFill>
                  <pic:spPr>
                    <a:xfrm>
                      <a:off x="0" y="0"/>
                      <a:ext cx="5760000" cy="380209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MiniMax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Em đã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ở giai đoạn thử nghiệm</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giai đoạn vận hành chính thức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đánh giá trên thang </w:t>
      </w:r>
      <w:r>
        <w:rPr>
          <w:rFonts w:ascii="Times New Roman" w:hAnsi="Times New Roman" w:eastAsia="Times New Roman"/>
          <w:b/>
          <w:i w:val="0"/>
          <w:sz w:val="26"/>
        </w:rPr>
        <w:t>1-5</w:t>
      </w:r>
      <w:r>
        <w:rPr>
          <w:rFonts w:ascii="Times New Roman" w:hAnsi="Times New Roman" w:eastAsia="Times New Roman"/>
          <w:b w:val="0"/>
          <w:i w:val="0"/>
          <w:sz w:val="26"/>
        </w:rPr>
        <w:t xml:space="preserve"> ở từng trục (1 = không phù hợp / 5 = phù hợp nhất với phạm vi giai đoạn thử nghiệm SMB của đồ án). Tổng điểm tối đa 30 (6 trục × 5 điểm). Rubric này </w:t>
      </w:r>
      <w:r>
        <w:rPr>
          <w:rFonts w:ascii="Times New Roman" w:hAnsi="Times New Roman" w:eastAsia="Times New Roman"/>
          <w:b/>
          <w:i w:val="0"/>
          <w:sz w:val="26"/>
        </w:rPr>
        <w:t>do tác giả tự thiết kế</w:t>
      </w:r>
      <w:r>
        <w:rPr>
          <w:rFonts w:ascii="Times New Roman" w:hAnsi="Times New Roman" w:eastAsia="Times New Roman"/>
          <w:b w:val="0"/>
          <w:i w:val="0"/>
          <w:sz w:val="26"/>
        </w:rPr>
        <w:t xml:space="preserve"> cho ngữ cảnh trung tâm dạy thêm SMB giai đoạn thử nghiệm của Kite Platform — tham khảo phương pháp luận đánh giá Pool/Bridge/Silo của AWS Well-Architected SaaS Lens [26, tr.21] và pattern comparison của Pothon [27], nhưng các trọng số trục cụ thể (chi phí ưu tiên cao do ràng buộc Free Tier, độ phức tạp vận hành ưu tiên cao do mô hình solo-dev) phản ánh ràng buộc kinh tế / nhân lực cụ thể của đồ án.</w:t>
      </w:r>
    </w:p>
    <w:p>
      <w:pPr>
        <w:spacing w:line="288" w:lineRule="auto"/>
        <w:ind w:firstLine="567"/>
        <w:jc w:val="both"/>
      </w:pPr>
      <w:r>
        <w:rPr>
          <w:rFonts w:ascii="Times New Roman" w:hAnsi="Times New Roman" w:eastAsia="Times New Roman"/>
          <w:b w:val="0"/>
          <w:i/>
          <w:sz w:val="26"/>
        </w:rPr>
        <w:t>Tiêu chí chấm điểm 1-5 cho từng trục:</w:t>
      </w:r>
    </w:p>
    <w:p>
      <w:pPr>
        <w:pStyle w:val="ListBullet"/>
        <w:spacing w:line="288" w:lineRule="auto"/>
        <w:ind w:left="850" w:hanging="283"/>
      </w:pPr>
      <w:r>
        <w:rPr>
          <w:rFonts w:ascii="Times New Roman" w:hAnsi="Times New Roman" w:eastAsia="Times New Roman"/>
          <w:b/>
          <w:i w:val="0"/>
          <w:sz w:val="26"/>
        </w:rPr>
        <w:t>Độ mạnh cô lập:</w:t>
      </w:r>
      <w:r>
        <w:rPr>
          <w:rFonts w:ascii="Times New Roman" w:hAnsi="Times New Roman" w:eastAsia="Times New Roman"/>
          <w:b w:val="0"/>
          <w:i w:val="0"/>
          <w:sz w:val="26"/>
        </w:rPr>
        <w:t xml:space="preserve"> 5 = enforce ở tầng cơ sở dữ liệu (vật lý hoặc chính sách RLS) / 3 = enforce ở tầng ứng dụng (qua bộ lọc trong code) / 1 = chỉ phụ thuộc kỷ luật code, không có cơ chế chặn ở DB.</w:t>
      </w:r>
    </w:p>
    <w:p>
      <w:pPr>
        <w:pStyle w:val="ListBullet"/>
        <w:spacing w:line="288" w:lineRule="auto"/>
        <w:ind w:left="850" w:hanging="283"/>
      </w:pPr>
      <w:r>
        <w:rPr>
          <w:rFonts w:ascii="Times New Roman" w:hAnsi="Times New Roman" w:eastAsia="Times New Roman"/>
          <w:b/>
          <w:i w:val="0"/>
          <w:sz w:val="26"/>
        </w:rPr>
        <w:t>Chi phí vận hành (5 = O(1)):</w:t>
      </w:r>
      <w:r>
        <w:rPr>
          <w:rFonts w:ascii="Times New Roman" w:hAnsi="Times New Roman" w:eastAsia="Times New Roman"/>
          <w:b w:val="0"/>
          <w:i w:val="0"/>
          <w:sz w:val="26"/>
        </w:rPr>
        <w:t xml:space="preserve"> 5 = chi phí cố định không tăng theo số tenant (1 RDS chia sẻ + 1 chuỗi migration); 3 = tăng tuyến tính một phần (vd N schema cùng 1 RDS); 1 = tăng tuyến tính đầy đủ (N RDS + N migration + N monitoring).</w:t>
      </w:r>
    </w:p>
    <w:p>
      <w:pPr>
        <w:pStyle w:val="ListBullet"/>
        <w:spacing w:line="288" w:lineRule="auto"/>
        <w:ind w:left="850" w:hanging="283"/>
      </w:pPr>
      <w:r>
        <w:rPr>
          <w:rFonts w:ascii="Times New Roman" w:hAnsi="Times New Roman" w:eastAsia="Times New Roman"/>
          <w:b/>
          <w:i w:val="0"/>
          <w:sz w:val="26"/>
        </w:rPr>
        <w:t>Khả năng truy vấn xuyên tenant:</w:t>
      </w:r>
      <w:r>
        <w:rPr>
          <w:rFonts w:ascii="Times New Roman" w:hAnsi="Times New Roman" w:eastAsia="Times New Roman"/>
          <w:b w:val="0"/>
          <w:i w:val="0"/>
          <w:sz w:val="26"/>
        </w:rPr>
        <w:t xml:space="preserve"> 5 = single query không cần JOIN/UNION + không cần bypass cơ chế cô lập; 3 = cần N query union qua nhiều scope; 1 = không khả thi nếu không thay đổi kiến trúc.</w:t>
      </w:r>
    </w:p>
    <w:p>
      <w:pPr>
        <w:pStyle w:val="ListBullet"/>
        <w:spacing w:line="288" w:lineRule="auto"/>
        <w:ind w:left="850" w:hanging="283"/>
      </w:pPr>
      <w:r>
        <w:rPr>
          <w:rFonts w:ascii="Times New Roman" w:hAnsi="Times New Roman" w:eastAsia="Times New Roman"/>
          <w:b/>
          <w:i w:val="0"/>
          <w:sz w:val="26"/>
        </w:rPr>
        <w:t>Phù hợp với phạm vi giai đoạn thử nghiệm:</w:t>
      </w:r>
      <w:r>
        <w:rPr>
          <w:rFonts w:ascii="Times New Roman" w:hAnsi="Times New Roman" w:eastAsia="Times New Roman"/>
          <w:b w:val="0"/>
          <w:i w:val="0"/>
          <w:sz w:val="26"/>
        </w:rPr>
        <w:t xml:space="preserve"> 5 = chi phí ≤$15/tháng cho ≤10 tenant đầu + độ phức tạp triển khai thấp; 3 = chi phí $50-200/tháng hoặc cần thêm 1-2 tuần triển khai; 1 = chi phí ≥$500/tháng hoặc đòi hỏi tái cấu trúc lớn.</w:t>
      </w:r>
    </w:p>
    <w:p>
      <w:pPr>
        <w:pStyle w:val="ListBullet"/>
        <w:spacing w:line="288" w:lineRule="auto"/>
        <w:ind w:left="850" w:hanging="283"/>
      </w:pPr>
      <w:r>
        <w:rPr>
          <w:rFonts w:ascii="Times New Roman" w:hAnsi="Times New Roman" w:eastAsia="Times New Roman"/>
          <w:b/>
          <w:i w:val="0"/>
          <w:sz w:val="26"/>
        </w:rPr>
        <w:t>Vị thế tuân thủ (PDPL + ISO27001):</w:t>
      </w:r>
      <w:r>
        <w:rPr>
          <w:rFonts w:ascii="Times New Roman" w:hAnsi="Times New Roman" w:eastAsia="Times New Roman"/>
          <w:b w:val="0"/>
          <w:i w:val="0"/>
          <w:sz w:val="26"/>
        </w:rPr>
        <w:t xml:space="preserve"> 5 = cô lập vật lý đáp ứng mọi yêu cầu pháp lý nghiêm ngặt; 4 = cô lập logic mạnh + audit trail đầy đủ + có khả năng chứng minh trong kiểm toán; 2 = không có cơ chế chặn cứng, phụ thuộc kỷ luật ứng dụng.</w:t>
      </w:r>
    </w:p>
    <w:p>
      <w:pPr>
        <w:pStyle w:val="ListBullet"/>
        <w:spacing w:line="288" w:lineRule="auto"/>
        <w:ind w:left="850" w:hanging="283"/>
      </w:pPr>
      <w:r>
        <w:rPr>
          <w:rFonts w:ascii="Times New Roman" w:hAnsi="Times New Roman" w:eastAsia="Times New Roman"/>
          <w:b/>
          <w:i w:val="0"/>
          <w:sz w:val="26"/>
        </w:rPr>
        <w:t>Chi phí chuyển đổi từ hiện trạng:</w:t>
      </w:r>
      <w:r>
        <w:rPr>
          <w:rFonts w:ascii="Times New Roman" w:hAnsi="Times New Roman" w:eastAsia="Times New Roman"/>
          <w:b w:val="0"/>
          <w:i w:val="0"/>
          <w:sz w:val="26"/>
        </w:rPr>
        <w:t xml:space="preserve"> 5 = không cần thay đổi schema hiện tại, chỉ thêm chính sách RLS + cột </w:t>
      </w:r>
      <w:r>
        <w:rPr>
          <w:rFonts w:ascii="Times New Roman" w:hAnsi="Times New Roman" w:eastAsia="Times New Roman"/>
          <w:b w:val="0"/>
          <w:i/>
          <w:sz w:val="26"/>
        </w:rPr>
        <w:t>tenant_id</w:t>
      </w:r>
      <w:r>
        <w:rPr>
          <w:rFonts w:ascii="Times New Roman" w:hAnsi="Times New Roman" w:eastAsia="Times New Roman"/>
          <w:b w:val="0"/>
          <w:i w:val="0"/>
          <w:sz w:val="26"/>
        </w:rPr>
        <w:t>; 3 = cần refactor một phần (vd tách schema per tenant); 1 = cần migrate dữ liệu sang kiến trúc khác (vd N-database, serverless).</w:t>
      </w:r>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Ma trận so sánh 6 pattern trên 6 trục (Pattern 4 đạt tổng 26/30 cho giai đoạn thử nghiệm)</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giai đoạn thử nghiệm</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cho cột Pattern 4 RLS (chọn — tổng 3+5+4+5+4+5 = 26/30):</w:t>
      </w:r>
    </w:p>
    <w:p>
      <w:pPr>
        <w:pStyle w:val="ListBullet"/>
        <w:spacing w:line="288" w:lineRule="auto"/>
        <w:ind w:left="850" w:hanging="283"/>
      </w:pPr>
      <w:r>
        <w:rPr>
          <w:rFonts w:ascii="Times New Roman" w:hAnsi="Times New Roman" w:eastAsia="Times New Roman"/>
          <w:b/>
          <w:i w:val="0"/>
          <w:sz w:val="26"/>
        </w:rPr>
        <w:t>Độ mạnh cô lập = 3:</w:t>
      </w:r>
      <w:r>
        <w:rPr>
          <w:rFonts w:ascii="Times New Roman" w:hAnsi="Times New Roman" w:eastAsia="Times New Roman"/>
          <w:b w:val="0"/>
          <w:i w:val="0"/>
          <w:sz w:val="26"/>
        </w:rPr>
        <w:t xml:space="preserve"> RLS enforce ở tầng cơ sở dữ liệu qua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cùng cột </w:t>
      </w:r>
      <w:r>
        <w:rPr>
          <w:rFonts w:ascii="Times New Roman" w:hAnsi="Times New Roman" w:eastAsia="Times New Roman"/>
          <w:b w:val="0"/>
          <w:i/>
          <w:sz w:val="26"/>
        </w:rPr>
        <w:t>tenant_id UUID NOT NULL</w:t>
      </w:r>
      <w:r>
        <w:rPr>
          <w:rFonts w:ascii="Times New Roman" w:hAnsi="Times New Roman" w:eastAsia="Times New Roman"/>
          <w:b w:val="0"/>
          <w:i w:val="0"/>
          <w:sz w:val="26"/>
        </w:rPr>
        <w:t xml:space="preserve"> và chế độ NULL force-fail (chi tiết §2.2.4). Điểm 3 (không phải 5)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chứ không phải cô lập </w:t>
      </w:r>
      <w:r>
        <w:rPr>
          <w:rFonts w:ascii="Times New Roman" w:hAnsi="Times New Roman" w:eastAsia="Times New Roman"/>
          <w:b/>
          <w:i w:val="0"/>
          <w:sz w:val="26"/>
        </w:rPr>
        <w:t>vật lý</w:t>
      </w:r>
      <w:r>
        <w:rPr>
          <w:rFonts w:ascii="Times New Roman" w:hAnsi="Times New Roman" w:eastAsia="Times New Roman"/>
          <w:b w:val="0"/>
          <w:i w:val="0"/>
          <w:sz w:val="26"/>
        </w:rPr>
        <w:t xml:space="preserve"> như Per-DB — vai trò siêu người dùng vẫn có thể BYPASS RLS, do đó cần thêm 4 lớp phòng thủ chiều sâu khác (xem §2.2.4) để đạt mức an toàn tương đương Per-DB.</w:t>
      </w:r>
    </w:p>
    <w:p>
      <w:pPr>
        <w:pStyle w:val="ListBullet"/>
        <w:spacing w:line="288" w:lineRule="auto"/>
        <w:ind w:left="850" w:hanging="283"/>
      </w:pPr>
      <w:r>
        <w:rPr>
          <w:rFonts w:ascii="Times New Roman" w:hAnsi="Times New Roman" w:eastAsia="Times New Roman"/>
          <w:b/>
          <w:i w:val="0"/>
          <w:sz w:val="26"/>
        </w:rPr>
        <w:t>Chi phí vận hành = 5:</w:t>
      </w:r>
      <w:r>
        <w:rPr>
          <w:rFonts w:ascii="Times New Roman" w:hAnsi="Times New Roman" w:eastAsia="Times New Roman"/>
          <w:b w:val="0"/>
          <w:i w:val="0"/>
          <w:sz w:val="26"/>
        </w:rPr>
        <w:t xml:space="preserve"> 1 instance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(Free Tier), không scale tuyến tính theo số tenant. 1 chuỗi Flyway migration áp dụng cho mọi tenant — không cần per-tenant DDL. Monitoring tập trung (1 dashboard CloudWatch cho 1 RDS) thay vì N dashboard.</w:t>
      </w:r>
    </w:p>
    <w:p>
      <w:pPr>
        <w:pStyle w:val="ListBullet"/>
        <w:spacing w:line="288" w:lineRule="auto"/>
        <w:ind w:left="850" w:hanging="283"/>
      </w:pPr>
      <w:r>
        <w:rPr>
          <w:rFonts w:ascii="Times New Roman" w:hAnsi="Times New Roman" w:eastAsia="Times New Roman"/>
          <w:b/>
          <w:i w:val="0"/>
          <w:sz w:val="26"/>
        </w:rPr>
        <w:t>Khả năng truy vấn xuyên tenant = 4:</w:t>
      </w:r>
      <w:r>
        <w:rPr>
          <w:rFonts w:ascii="Times New Roman" w:hAnsi="Times New Roman" w:eastAsia="Times New Roman"/>
          <w:b w:val="0"/>
          <w:i w:val="0"/>
          <w:sz w:val="26"/>
        </w:rPr>
        <w:t xml:space="preserve">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 RLS (qua </w:t>
      </w:r>
      <w:r>
        <w:rPr>
          <w:rFonts w:ascii="Times New Roman" w:hAnsi="Times New Roman" w:eastAsia="Times New Roman"/>
          <w:b w:val="0"/>
          <w:i/>
          <w:sz w:val="26"/>
        </w:rPr>
        <w:t>ALTER ROLE ... BYPASSRLS</w:t>
      </w:r>
      <w:r>
        <w:rPr>
          <w:rFonts w:ascii="Times New Roman" w:hAnsi="Times New Roman" w:eastAsia="Times New Roman"/>
          <w:b w:val="0"/>
          <w:i w:val="0"/>
          <w:sz w:val="26"/>
        </w:rPr>
        <w:t>), cho phép single query xuyên tenant phục vụ report toàn nền tảng và migration. Điểm 4 (không phải 5) vì cần ý thức rõ ràng khi viết code admin để không vô tình leak dữ liệu giữa tenant context — yêu cầu kỷ luật code review chặt chẽ.</w:t>
      </w:r>
    </w:p>
    <w:p>
      <w:pPr>
        <w:pStyle w:val="ListBullet"/>
        <w:spacing w:line="288" w:lineRule="auto"/>
        <w:ind w:left="850" w:hanging="283"/>
      </w:pPr>
      <w:r>
        <w:rPr>
          <w:rFonts w:ascii="Times New Roman" w:hAnsi="Times New Roman" w:eastAsia="Times New Roman"/>
          <w:b/>
          <w:i w:val="0"/>
          <w:sz w:val="26"/>
        </w:rPr>
        <w:t>Phù hợp với phạm vi giai đoạn thử nghiệm = 5:</w:t>
      </w:r>
      <w:r>
        <w:rPr>
          <w:rFonts w:ascii="Times New Roman" w:hAnsi="Times New Roman" w:eastAsia="Times New Roman"/>
          <w:b w:val="0"/>
          <w:i w:val="0"/>
          <w:sz w:val="26"/>
        </w:rPr>
        <w:t xml:space="preserve"> Tổng chi phí hạ tầng ≤$15/tháng (RDS Free Tier 12 tháng đầu, ECS Fargate Spot, S3 dưới 5GB), phù hợp giai đoạn ≤10 tenant đầu của trung tâm SMB. Triển khai chỉ cần thêm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+ 1 migration Flyway tạo chính sách RLS cho mỗi bảng — không cần tái cấu trúc kiến trúc.</w:t>
      </w:r>
    </w:p>
    <w:p>
      <w:pPr>
        <w:pStyle w:val="ListBullet"/>
        <w:spacing w:line="288" w:lineRule="auto"/>
        <w:ind w:left="850" w:hanging="283"/>
      </w:pPr>
      <w:r>
        <w:rPr>
          <w:rFonts w:ascii="Times New Roman" w:hAnsi="Times New Roman" w:eastAsia="Times New Roman"/>
          <w:b/>
          <w:i w:val="0"/>
          <w:sz w:val="26"/>
        </w:rPr>
        <w:t>Vị thế tuân thủ (PDPL + ISO27001) = 4:</w:t>
      </w:r>
      <w:r>
        <w:rPr>
          <w:rFonts w:ascii="Times New Roman" w:hAnsi="Times New Roman" w:eastAsia="Times New Roman"/>
          <w:b w:val="0"/>
          <w:i w:val="0"/>
          <w:sz w:val="26"/>
        </w:rPr>
        <w:t xml:space="preserve"> Đáp ứng yêu cầu cô lập logic mạnh của PDPL 2023 (Điều 19 — bảo vệ dữ liệu cá nhân) và ISO/IEC 27001:2022 (A.8.3 — quản lý quyền truy cập), kèm audit trail đầy đủ qua bảng </w:t>
      </w:r>
      <w:r>
        <w:rPr>
          <w:rFonts w:ascii="Times New Roman" w:hAnsi="Times New Roman" w:eastAsia="Times New Roman"/>
          <w:b w:val="0"/>
          <w:i/>
          <w:sz w:val="26"/>
        </w:rPr>
        <w:t>audit_logs</w:t>
      </w:r>
      <w:r>
        <w:rPr>
          <w:rFonts w:ascii="Times New Roman" w:hAnsi="Times New Roman" w:eastAsia="Times New Roman"/>
          <w:b w:val="0"/>
          <w:i w:val="0"/>
          <w:sz w:val="26"/>
        </w:rPr>
        <w:t xml:space="preserve"> PDPL Art 11. Điểm 4 (không phải 5) vì cô lập logic, không phải vật lý — khách hàng doanh nghiệp yêu cầu cô lập vật lý ở giai đoạn vận hành chính thức sẽ cần chuyển sang Hybrid Path A (xem P5).</w:t>
      </w:r>
    </w:p>
    <w:p>
      <w:pPr>
        <w:pStyle w:val="ListBullet"/>
        <w:spacing w:line="288" w:lineRule="auto"/>
        <w:ind w:left="850" w:hanging="283"/>
      </w:pPr>
      <w:r>
        <w:rPr>
          <w:rFonts w:ascii="Times New Roman" w:hAnsi="Times New Roman" w:eastAsia="Times New Roman"/>
          <w:b/>
          <w:i w:val="0"/>
          <w:sz w:val="26"/>
        </w:rPr>
        <w:t>Chi phí chuyển đổi từ hiện trạng = 5:</w:t>
      </w:r>
      <w:r>
        <w:rPr>
          <w:rFonts w:ascii="Times New Roman" w:hAnsi="Times New Roman" w:eastAsia="Times New Roman"/>
          <w:b w:val="0"/>
          <w:i w:val="0"/>
          <w:sz w:val="26"/>
        </w:rPr>
        <w:t xml:space="preserve">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ở mọi bảng domain (mô hình P3 ban đầu); chuyển sang P4 RLS chỉ cần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ở tầng kết nối DB, không cần migrate dữ liệu hay refactor entity model.</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giai đoạn thử nghiệm, và lộ trình chuyển đổi sang Hybrid Path A khi mở rộng đến nhóm khách hàng doanh nghiệp ở giai đoạn vận hành chính thức.</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5735172" cy="7920000"/>
            <wp:docPr id="9" name="Picture 9"/>
            <wp:cNvGraphicFramePr>
              <a:graphicFrameLocks noChangeAspect="1"/>
            </wp:cNvGraphicFramePr>
            <a:graphic>
              <a:graphicData uri="http://schemas.openxmlformats.org/drawingml/2006/picture">
                <pic:pic>
                  <pic:nvPicPr>
                    <pic:cNvPr id="0" name="mermaid-a3293e2f9619f813.png"/>
                    <pic:cNvPicPr/>
                  </pic:nvPicPr>
                  <pic:blipFill>
                    <a:blip r:embed="rId17"/>
                    <a:stretch>
                      <a:fillRect/>
                    </a:stretch>
                  </pic:blipFill>
                  <pic:spPr>
                    <a:xfrm>
                      <a:off x="0" y="0"/>
                      <a:ext cx="5735172"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Tác giả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4179020"/>
            <wp:docPr id="10" name="Picture 10"/>
            <wp:cNvGraphicFramePr>
              <a:graphicFrameLocks noChangeAspect="1"/>
            </wp:cNvGraphicFramePr>
            <a:graphic>
              <a:graphicData uri="http://schemas.openxmlformats.org/drawingml/2006/picture">
                <pic:pic>
                  <pic:nvPicPr>
                    <pic:cNvPr id="0" name="mermaid-dde7ec019e61c6c8.png"/>
                    <pic:cNvPicPr/>
                  </pic:nvPicPr>
                  <pic:blipFill>
                    <a:blip r:embed="rId18"/>
                    <a:stretch>
                      <a:fillRect/>
                    </a:stretch>
                  </pic:blipFill>
                  <pic:spPr>
                    <a:xfrm>
                      <a:off x="0" y="0"/>
                      <a:ext cx="5760000" cy="417902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2.4</w:t>
      </w:r>
      <w:r>
        <w:rPr>
          <w:rFonts w:ascii="Times New Roman" w:hAnsi="Times New Roman" w:eastAsia="Times New Roman"/>
          <w:sz w:val="26"/>
        </w:rPr>
        <w:t>. Luồng xác thực JWT và truyền ngữ cảnh tenant</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§2.3.1 và §2.3.2 trình bày class diagram và ERD cho miền nghiệp vụ; §2.3.3 trình bày sequence diagram luồng cấp phát tenant; §2.3.4 trình bày máy trạng thái vòng đời tenant; §2.3.5 tổng kết phân rã service; §2.3.6 trình bày thiết kế cơ sở dữ liệu chi tiết; §2.3.7 trình bày mô hình SaaS (gói dịch vụ, thanh toán).</w:t>
      </w:r>
    </w:p>
    <w:p>
      <w:pPr>
        <w:pStyle w:val="Heading3"/>
      </w:pPr>
      <w:r>
        <w:rPr>
          <w:rFonts w:ascii="Times New Roman" w:hAnsi="Times New Roman" w:eastAsia="Times New Roman"/>
          <w:b/>
          <w:color w:val="000000"/>
          <w:sz w:val="28"/>
        </w:rPr>
        <w:t>2.3.1 Class Diagram — Core Domain</w:t>
      </w:r>
    </w:p>
    <w:p>
      <w:pPr>
        <w:spacing w:line="288" w:lineRule="auto"/>
        <w:ind w:firstLine="567"/>
        <w:jc w:val="both"/>
      </w:pPr>
      <w:r>
        <w:rPr>
          <w:rFonts w:ascii="Times New Roman" w:hAnsi="Times New Roman" w:eastAsia="Times New Roman"/>
          <w:b w:val="0"/>
          <w:i w:val="0"/>
          <w:sz w:val="26"/>
        </w:rPr>
        <w:t>Sơ đồ lớp UML mô tả các entity nghiệp vụ cốt lõi của Kite Platform cùng quan hệ giữa chúng. Hình 2.5 trình bày các lớp chính trong miền giáo dục đa tenant.</w:t>
      </w:r>
    </w:p>
    <w:p>
      <w:pPr>
        <w:spacing w:before="120" w:after="120"/>
        <w:jc w:val="center"/>
      </w:pPr>
      <w:r>
        <w:drawing>
          <wp:inline xmlns:a="http://schemas.openxmlformats.org/drawingml/2006/main" xmlns:pic="http://schemas.openxmlformats.org/drawingml/2006/picture">
            <wp:extent cx="4268062" cy="7920000"/>
            <wp:docPr id="11" name="Picture 11"/>
            <wp:cNvGraphicFramePr>
              <a:graphicFrameLocks noChangeAspect="1"/>
            </wp:cNvGraphicFramePr>
            <a:graphic>
              <a:graphicData uri="http://schemas.openxmlformats.org/drawingml/2006/picture">
                <pic:pic>
                  <pic:nvPicPr>
                    <pic:cNvPr id="0" name="mermaid-cfe5ec891d00c4b9.png"/>
                    <pic:cNvPicPr/>
                  </pic:nvPicPr>
                  <pic:blipFill>
                    <a:blip r:embed="rId19"/>
                    <a:stretch>
                      <a:fillRect/>
                    </a:stretch>
                  </pic:blipFill>
                  <pic:spPr>
                    <a:xfrm>
                      <a:off x="0" y="0"/>
                      <a:ext cx="4268062"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2.5</w:t>
      </w:r>
      <w:r>
        <w:rPr>
          <w:rFonts w:ascii="Times New Roman" w:hAnsi="Times New Roman" w:eastAsia="Times New Roman"/>
          <w:sz w:val="26"/>
        </w:rPr>
        <w:t>. Class diagram — core domain entities và quan hệ</w:t>
      </w:r>
    </w:p>
    <w:p>
      <w:pPr>
        <w:spacing w:line="288" w:lineRule="auto"/>
        <w:ind w:firstLine="567"/>
        <w:jc w:val="both"/>
      </w:pPr>
      <w:r>
        <w:rPr>
          <w:rFonts w:ascii="Times New Roman" w:hAnsi="Times New Roman" w:eastAsia="Times New Roman"/>
          <w:b w:val="0"/>
          <w:i w:val="0"/>
          <w:sz w:val="26"/>
        </w:rPr>
        <w:t xml:space="preserve">Class diagram tập trung vào hành vi runtime cùng các phương thức nghiệp vụ chính: </w:t>
      </w:r>
      <w:r>
        <w:rPr>
          <w:rFonts w:ascii="Times New Roman" w:hAnsi="Times New Roman" w:eastAsia="Times New Roman"/>
          <w:b w:val="0"/>
          <w:i/>
          <w:sz w:val="26"/>
        </w:rPr>
        <w:t>Tenant.provision()</w:t>
      </w:r>
      <w:r>
        <w:rPr>
          <w:rFonts w:ascii="Times New Roman" w:hAnsi="Times New Roman" w:eastAsia="Times New Roman"/>
          <w:b w:val="0"/>
          <w:i w:val="0"/>
          <w:sz w:val="26"/>
        </w:rPr>
        <w:t xml:space="preserve"> khởi tạo instance mới khi quản trị duyệt yêu cầu beta; </w:t>
      </w:r>
      <w:r>
        <w:rPr>
          <w:rFonts w:ascii="Times New Roman" w:hAnsi="Times New Roman" w:eastAsia="Times New Roman"/>
          <w:b w:val="0"/>
          <w:i/>
          <w:sz w:val="26"/>
        </w:rPr>
        <w:t>Tenant.suspend()</w:t>
      </w:r>
      <w:r>
        <w:rPr>
          <w:rFonts w:ascii="Times New Roman" w:hAnsi="Times New Roman" w:eastAsia="Times New Roman"/>
          <w:b w:val="0"/>
          <w:i w:val="0"/>
          <w:sz w:val="26"/>
        </w:rPr>
        <w:t xml:space="preserve"> được gọi khi thanh toán thất bại quá thời gian ân hạn; </w:t>
      </w:r>
      <w:r>
        <w:rPr>
          <w:rFonts w:ascii="Times New Roman" w:hAnsi="Times New Roman" w:eastAsia="Times New Roman"/>
          <w:b w:val="0"/>
          <w:i/>
          <w:sz w:val="26"/>
        </w:rPr>
        <w:t>Tenant.cancel()</w:t>
      </w:r>
      <w:r>
        <w:rPr>
          <w:rFonts w:ascii="Times New Roman" w:hAnsi="Times New Roman" w:eastAsia="Times New Roman"/>
          <w:b w:val="0"/>
          <w:i w:val="0"/>
          <w:sz w:val="26"/>
        </w:rPr>
        <w:t xml:space="preserve"> đánh dấu off-boarding sau cửa sổ lưu giữ 7 ngày. Cột </w:t>
      </w:r>
      <w:r>
        <w:rPr>
          <w:rFonts w:ascii="Times New Roman" w:hAnsi="Times New Roman" w:eastAsia="Times New Roman"/>
          <w:b w:val="0"/>
          <w:i/>
          <w:sz w:val="26"/>
        </w:rPr>
        <w:t>tenantId</w:t>
      </w:r>
      <w:r>
        <w:rPr>
          <w:rFonts w:ascii="Times New Roman" w:hAnsi="Times New Roman" w:eastAsia="Times New Roman"/>
          <w:b w:val="0"/>
          <w:i w:val="0"/>
          <w:sz w:val="26"/>
        </w:rPr>
        <w:t xml:space="preserve"> UUID xuất hiện ở mọi entity domain — đây là cột khoá ngoại bắt buộc cho chính sách RLS PostgreSQL được mô tả ở §2.2.4.</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tập trung vào tính cardinality giữa các bảng — khác với class diagram §2.3.1 vốn tập trung vào hành vi runtime và phương thức.</w:t>
      </w:r>
    </w:p>
    <w:p>
      <w:pPr>
        <w:spacing w:before="120" w:after="120"/>
        <w:jc w:val="center"/>
      </w:pPr>
      <w:r>
        <w:drawing>
          <wp:inline xmlns:a="http://schemas.openxmlformats.org/drawingml/2006/main" xmlns:pic="http://schemas.openxmlformats.org/drawingml/2006/picture">
            <wp:extent cx="5760000" cy="2600576"/>
            <wp:docPr id="12" name="Picture 12"/>
            <wp:cNvGraphicFramePr>
              <a:graphicFrameLocks noChangeAspect="1"/>
            </wp:cNvGraphicFramePr>
            <a:graphic>
              <a:graphicData uri="http://schemas.openxmlformats.org/drawingml/2006/picture">
                <pic:pic>
                  <pic:nvPicPr>
                    <pic:cNvPr id="0" name="mermaid-f005980df8c8a241.png"/>
                    <pic:cNvPicPr/>
                  </pic:nvPicPr>
                  <pic:blipFill>
                    <a:blip r:embed="rId20"/>
                    <a:stretch>
                      <a:fillRect/>
                    </a:stretch>
                  </pic:blipFill>
                  <pic:spPr>
                    <a:xfrm>
                      <a:off x="0" y="0"/>
                      <a:ext cx="5760000" cy="2600576"/>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2.6</w:t>
      </w:r>
      <w:r>
        <w:rPr>
          <w:rFonts w:ascii="Times New Roman" w:hAnsi="Times New Roman" w:eastAsia="Times New Roman"/>
          <w:sz w:val="26"/>
        </w:rPr>
        <w:t>. Sơ đồ ERD high-level mô tả quan hệ giữa các entity chính trong hệ thống</w:t>
      </w:r>
    </w:p>
    <w:p>
      <w:pPr>
        <w:spacing w:line="288" w:lineRule="auto"/>
        <w:ind w:firstLine="567"/>
        <w:jc w:val="both"/>
      </w:pPr>
      <w:r>
        <w:rPr>
          <w:rFonts w:ascii="Times New Roman" w:hAnsi="Times New Roman" w:eastAsia="Times New Roman"/>
          <w:b w:val="0"/>
          <w:i w:val="0"/>
          <w:sz w:val="26"/>
        </w:rPr>
        <w:t xml:space="preserve">ERD nhấn mạnh quan hệ many-to-many giữa </w:t>
      </w:r>
      <w:r>
        <w:rPr>
          <w:rFonts w:ascii="Times New Roman" w:hAnsi="Times New Roman" w:eastAsia="Times New Roman"/>
          <w:b w:val="0"/>
          <w:i/>
          <w:sz w:val="26"/>
        </w:rPr>
        <w:t>STUDENT</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qua bảng nối </w:t>
      </w:r>
      <w:r>
        <w:rPr>
          <w:rFonts w:ascii="Times New Roman" w:hAnsi="Times New Roman" w:eastAsia="Times New Roman"/>
          <w:b w:val="0"/>
          <w:i/>
          <w:sz w:val="26"/>
        </w:rPr>
        <w:t>STUDENT_CLASS</w:t>
      </w:r>
      <w:r>
        <w:rPr>
          <w:rFonts w:ascii="Times New Roman" w:hAnsi="Times New Roman" w:eastAsia="Times New Roman"/>
          <w:b w:val="0"/>
          <w:i w:val="0"/>
          <w:sz w:val="26"/>
        </w:rPr>
        <w:t xml:space="preserve"> (một học sinh có thể đăng ký nhiều lớp, một lớp có nhiều học sinh) — chi tiết quan hệ này bị che giấu ở class diagram cấp độ runtime. Mọi quan hệ xuất phát từ </w:t>
      </w:r>
      <w:r>
        <w:rPr>
          <w:rFonts w:ascii="Times New Roman" w:hAnsi="Times New Roman" w:eastAsia="Times New Roman"/>
          <w:b w:val="0"/>
          <w:i/>
          <w:sz w:val="26"/>
        </w:rPr>
        <w:t>TENANT</w:t>
      </w:r>
      <w:r>
        <w:rPr>
          <w:rFonts w:ascii="Times New Roman" w:hAnsi="Times New Roman" w:eastAsia="Times New Roman"/>
          <w:b w:val="0"/>
          <w:i w:val="0"/>
          <w:sz w:val="26"/>
        </w:rPr>
        <w:t xml:space="preserve"> đều có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thể hiện ranh giới đa tenant: không có entity nghiệp vụ nào tồn tại ngoài ngữ cảnh tenant.</w:t>
      </w:r>
    </w:p>
    <w:p>
      <w:pPr>
        <w:pStyle w:val="Heading3"/>
      </w:pPr>
      <w:r>
        <w:rPr>
          <w:rFonts w:ascii="Times New Roman" w:hAnsi="Times New Roman" w:eastAsia="Times New Roman"/>
          <w:b/>
          <w:color w:val="000000"/>
          <w:sz w:val="28"/>
        </w:rPr>
        <w:t>2.3.3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trung tâm đăng nhập lần đầu trải qua nhiều bước phối hợp giữa frontend, backend và các dịch vụ ngoài. Hình 2.7 trình bày tuần tự các bước theo ký pháp UML.</w:t>
      </w:r>
    </w:p>
    <w:p>
      <w:pPr>
        <w:spacing w:before="120" w:after="120"/>
        <w:jc w:val="center"/>
      </w:pPr>
      <w:r>
        <w:drawing>
          <wp:inline xmlns:a="http://schemas.openxmlformats.org/drawingml/2006/main" xmlns:pic="http://schemas.openxmlformats.org/drawingml/2006/picture">
            <wp:extent cx="5760000" cy="3054927"/>
            <wp:docPr id="13" name="Picture 13"/>
            <wp:cNvGraphicFramePr>
              <a:graphicFrameLocks noChangeAspect="1"/>
            </wp:cNvGraphicFramePr>
            <a:graphic>
              <a:graphicData uri="http://schemas.openxmlformats.org/drawingml/2006/picture">
                <pic:pic>
                  <pic:nvPicPr>
                    <pic:cNvPr id="0" name="mermaid-72c9a05164b81419.png"/>
                    <pic:cNvPicPr/>
                  </pic:nvPicPr>
                  <pic:blipFill>
                    <a:blip r:embed="rId21"/>
                    <a:stretch>
                      <a:fillRect/>
                    </a:stretch>
                  </pic:blipFill>
                  <pic:spPr>
                    <a:xfrm>
                      <a:off x="0" y="0"/>
                      <a:ext cx="5760000" cy="3054927"/>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2.7</w:t>
      </w:r>
      <w:r>
        <w:rPr>
          <w:rFonts w:ascii="Times New Roman" w:hAnsi="Times New Roman" w:eastAsia="Times New Roman"/>
          <w:sz w:val="26"/>
        </w:rPr>
        <w:t>. Sequence diagram — luồng cấp phát tenant thử nghiệm</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§2.3.4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trung tâm xác thực — giảm thời gian onboarding khi user click magic-link.</w:t>
      </w:r>
    </w:p>
    <w:p>
      <w:pPr>
        <w:pStyle w:val="Heading3"/>
      </w:pPr>
      <w:r>
        <w:rPr>
          <w:rFonts w:ascii="Times New Roman" w:hAnsi="Times New Roman" w:eastAsia="Times New Roman"/>
          <w:b/>
          <w:color w:val="000000"/>
          <w:sz w:val="28"/>
        </w:rPr>
        <w:t>2.3.4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760000" cy="7193323"/>
            <wp:docPr id="14" name="Picture 14"/>
            <wp:cNvGraphicFramePr>
              <a:graphicFrameLocks noChangeAspect="1"/>
            </wp:cNvGraphicFramePr>
            <a:graphic>
              <a:graphicData uri="http://schemas.openxmlformats.org/drawingml/2006/picture">
                <pic:pic>
                  <pic:nvPicPr>
                    <pic:cNvPr id="0" name="mermaid-3e2649c3cbb965e5.png"/>
                    <pic:cNvPicPr/>
                  </pic:nvPicPr>
                  <pic:blipFill>
                    <a:blip r:embed="rId22"/>
                    <a:stretch>
                      <a:fillRect/>
                    </a:stretch>
                  </pic:blipFill>
                  <pic:spPr>
                    <a:xfrm>
                      <a:off x="0" y="0"/>
                      <a:ext cx="5760000" cy="7193323"/>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2.3.5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Ollama/MiniMax</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2.3.6 Thiết kế cơ sở dữ liệu</w:t>
      </w:r>
    </w:p>
    <w:p>
      <w:pPr>
        <w:spacing w:line="288" w:lineRule="auto"/>
        <w:ind w:firstLine="567"/>
        <w:jc w:val="both"/>
      </w:pPr>
      <w:r>
        <w:rPr>
          <w:rFonts w:ascii="Times New Roman" w:hAnsi="Times New Roman" w:eastAsia="Times New Roman"/>
          <w:b w:val="0"/>
          <w:i w:val="0"/>
          <w:sz w:val="26"/>
        </w:rPr>
        <w:t>Phần này trình bày schema chi tiết của 3 bảng cốt lõi đại diện cho miền đa tenant của Kite Platform. ERD tổng quan đã được giới thiệu tại §2.3.2; phần này bổ sung thông tin từng cột phục vụ phát triển và bảo trì. Schema được pull canonical từ chuỗi migration Flyway của hai cụm dịch vụ (cụm subscription quản lý control-plane và cụm core quản lý domain-plane).</w:t>
      </w:r>
    </w:p>
    <w:p>
      <w:pPr>
        <w:spacing w:line="288" w:lineRule="auto"/>
        <w:ind w:firstLine="567"/>
        <w:jc w:val="both"/>
      </w:pPr>
      <w:r>
        <w:rPr>
          <w:rFonts w:ascii="Times New Roman" w:hAnsi="Times New Roman" w:eastAsia="Times New Roman"/>
          <w:b/>
          <w:i w:val="0"/>
          <w:sz w:val="26"/>
        </w:rPr>
        <w:t>Bảng `instances` (kitehub-subscription control-plane).</w:t>
      </w:r>
      <w:r>
        <w:rPr>
          <w:rFonts w:ascii="Times New Roman" w:hAnsi="Times New Roman" w:eastAsia="Times New Roman"/>
          <w:b w:val="0"/>
          <w:i w:val="0"/>
          <w:sz w:val="26"/>
        </w:rPr>
        <w:t xml:space="preserve">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lưu metadata cấp tenant: mỗi dòng tương ứng với một trung tâm dạy thêm có dùng nền tảng. Bảng này thuộc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và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trung tâm (ví dụ </w:t>
            </w:r>
            <w:r>
              <w:rPr>
                <w:rFonts w:ascii="Times New Roman" w:hAnsi="Times New Roman" w:eastAsia="Times New Roman"/>
                <w:b w:val="0"/>
                <w:i/>
                <w:sz w:val="24"/>
              </w:rPr>
              <w:t>Trung tâm Anh ngữ Sky Education</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i w:val="0"/>
          <w:sz w:val="26"/>
        </w:rPr>
        <w:t>Bảng `classes`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đại diện cho lớp học cụ thể tại tenant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mở từ tháng 9/2025 đến tháng 5/2026). Bảng này thuộc service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và là entity domain trung tâm cho các tính năng điểm danh, chấm điểm, thanh toán học phí.</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`classes`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cột tenant scoping,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course_id</w:t>
            </w:r>
          </w:p>
        </w:tc>
        <w:tc>
          <w:tcPr>
            <w:tcW w:type="dxa" w:w="2160"/>
          </w:tcPr>
          <w:p>
            <w:r>
              <w:rPr>
                <w:sz w:val="24"/>
              </w:rPr>
            </w:r>
            <w:r>
              <w:rPr>
                <w:rFonts w:ascii="Times New Roman" w:hAnsi="Times New Roman" w:eastAsia="Times New Roman"/>
                <w:b w:val="0"/>
                <w:i w:val="0"/>
                <w:sz w:val="24"/>
              </w:rPr>
              <w:t>BIGINT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courses.id</w:t>
            </w:r>
            <w:r>
              <w:rPr>
                <w:rFonts w:ascii="Times New Roman" w:hAnsi="Times New Roman" w:eastAsia="Times New Roman"/>
                <w:b w:val="0"/>
                <w:i w:val="0"/>
                <w:sz w:val="24"/>
              </w:rPr>
              <w:t xml:space="preserve"> (mỗi lớp thuộc một khoá học)</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code</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Mã lớp (ví dụ </w:t>
            </w:r>
            <w:r>
              <w:rPr>
                <w:rFonts w:ascii="Times New Roman" w:hAnsi="Times New Roman" w:eastAsia="Times New Roman"/>
                <w:b w:val="0"/>
                <w:i/>
                <w:sz w:val="24"/>
              </w:rPr>
              <w:t>ANH-5A1-2025</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 xml:space="preserve">Tên hiển thị (ví dụ </w:t>
            </w:r>
            <w:r>
              <w:rPr>
                <w:rFonts w:ascii="Times New Roman" w:hAnsi="Times New Roman" w:eastAsia="Times New Roman"/>
                <w:b w:val="0"/>
                <w:i/>
                <w:sz w:val="24"/>
              </w:rPr>
              <w:t>Lớp Anh ngữ 5A1 buổi tối</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teacher_id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teachers.id</w:t>
            </w:r>
            <w:r>
              <w:rPr>
                <w:rFonts w:ascii="Times New Roman" w:hAnsi="Times New Roman" w:eastAsia="Times New Roman"/>
                <w:b w:val="0"/>
                <w:i w:val="0"/>
                <w:sz w:val="24"/>
              </w:rPr>
              <w:t xml:space="preserve"> (giáo viên phụ trách lớp)</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start_date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khai giảng</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end_date</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kết thúc dự kiến</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max_students</w:t>
            </w:r>
          </w:p>
        </w:tc>
        <w:tc>
          <w:tcPr>
            <w:tcW w:type="dxa" w:w="2160"/>
          </w:tcPr>
          <w:p>
            <w:r>
              <w:rPr>
                <w:sz w:val="24"/>
              </w:rPr>
            </w:r>
            <w:r>
              <w:rPr>
                <w:rFonts w:ascii="Times New Roman" w:hAnsi="Times New Roman" w:eastAsia="Times New Roman"/>
                <w:b w:val="0"/>
                <w:i w:val="0"/>
                <w:sz w:val="24"/>
              </w:rPr>
              <w:t>INTEGER</w:t>
            </w:r>
          </w:p>
        </w:tc>
        <w:tc>
          <w:tcPr>
            <w:tcW w:type="dxa" w:w="2160"/>
          </w:tcPr>
          <w:p>
            <w:r>
              <w:rPr>
                <w:sz w:val="24"/>
              </w:rPr>
            </w:r>
            <w:r>
              <w:rPr>
                <w:rFonts w:ascii="Times New Roman" w:hAnsi="Times New Roman" w:eastAsia="Times New Roman"/>
                <w:b w:val="0"/>
                <w:i w:val="0"/>
                <w:sz w:val="24"/>
              </w:rPr>
              <w:t>Sĩ số tối đa (mặc định 30)</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tuition_amount</w:t>
            </w:r>
          </w:p>
        </w:tc>
        <w:tc>
          <w:tcPr>
            <w:tcW w:type="dxa" w:w="2160"/>
          </w:tcPr>
          <w:p>
            <w:r>
              <w:rPr>
                <w:sz w:val="24"/>
              </w:rPr>
            </w:r>
            <w:r>
              <w:rPr>
                <w:rFonts w:ascii="Times New Roman" w:hAnsi="Times New Roman" w:eastAsia="Times New Roman"/>
                <w:b w:val="0"/>
                <w:i w:val="0"/>
                <w:sz w:val="24"/>
              </w:rPr>
              <w:t>DECIMAL(12,2)</w:t>
            </w:r>
          </w:p>
        </w:tc>
        <w:tc>
          <w:tcPr>
            <w:tcW w:type="dxa" w:w="2160"/>
          </w:tcPr>
          <w:p>
            <w:r>
              <w:rPr>
                <w:sz w:val="24"/>
              </w:rPr>
            </w:r>
            <w:r>
              <w:rPr>
                <w:rFonts w:ascii="Times New Roman" w:hAnsi="Times New Roman" w:eastAsia="Times New Roman"/>
                <w:b w:val="0"/>
                <w:i w:val="0"/>
                <w:sz w:val="24"/>
              </w:rPr>
              <w:t xml:space="preserve">Mức học phí (đơn vị VND, ví dụ </w:t>
            </w:r>
            <w:r>
              <w:rPr>
                <w:rFonts w:ascii="Times New Roman" w:hAnsi="Times New Roman" w:eastAsia="Times New Roman"/>
                <w:b w:val="0"/>
                <w:i/>
                <w:sz w:val="24"/>
              </w:rPr>
              <w:t>1500000.00</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tuition_type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Cách tính phí: </w:t>
            </w:r>
            <w:r>
              <w:rPr>
                <w:rFonts w:ascii="Times New Roman" w:hAnsi="Times New Roman" w:eastAsia="Times New Roman"/>
                <w:b w:val="0"/>
                <w:i/>
                <w:sz w:val="24"/>
              </w:rPr>
              <w:t>fixed</w:t>
            </w:r>
            <w:r>
              <w:rPr>
                <w:rFonts w:ascii="Times New Roman" w:hAnsi="Times New Roman" w:eastAsia="Times New Roman"/>
                <w:b w:val="0"/>
                <w:i w:val="0"/>
                <w:sz w:val="24"/>
              </w:rPr>
              <w:t xml:space="preserve"> (cố định/khoá) hoặc </w:t>
            </w:r>
            <w:r>
              <w:rPr>
                <w:rFonts w:ascii="Times New Roman" w:hAnsi="Times New Roman" w:eastAsia="Times New Roman"/>
                <w:b w:val="0"/>
                <w:i/>
                <w:sz w:val="24"/>
              </w:rPr>
              <w:t>per_session</w:t>
            </w:r>
            <w:r>
              <w:rPr>
                <w:rFonts w:ascii="Times New Roman" w:hAnsi="Times New Roman" w:eastAsia="Times New Roman"/>
                <w:b w:val="0"/>
                <w:i w:val="0"/>
                <w:sz w:val="24"/>
              </w:rPr>
              <w:t xml:space="preserve"> (theo buổi)</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Trạng thái lớp: upcoming / ongoing / completed / cancelled</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bật RLS với chính sách </w:t>
      </w:r>
      <w:r>
        <w:rPr>
          <w:rFonts w:ascii="Times New Roman" w:hAnsi="Times New Roman" w:eastAsia="Times New Roman"/>
          <w:b w:val="0"/>
          <w:i/>
          <w:sz w:val="26"/>
        </w:rPr>
        <w:t>tenant_isolation_classes</w:t>
      </w:r>
      <w:r>
        <w:rPr>
          <w:rFonts w:ascii="Times New Roman" w:hAnsi="Times New Roman" w:eastAsia="Times New Roman"/>
          <w:b w:val="0"/>
          <w:i w:val="0"/>
          <w:sz w:val="26"/>
        </w:rPr>
        <w:t xml:space="preserve"> (xem mẫu SQL tại §2.2.4) — mọi truy vấn không có ngữ cảnh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hợp lệ sẽ trả về 0 row, ngăn chặn rò rỉ chéo tenant ngay tại tầng cơ sở dữ liệu.</w:t>
      </w:r>
    </w:p>
    <w:p>
      <w:pPr>
        <w:spacing w:line="288" w:lineRule="auto"/>
        <w:ind w:firstLine="567"/>
        <w:jc w:val="both"/>
      </w:pPr>
      <w:r>
        <w:rPr>
          <w:rFonts w:ascii="Times New Roman" w:hAnsi="Times New Roman" w:eastAsia="Times New Roman"/>
          <w:b/>
          <w:i w:val="0"/>
          <w:sz w:val="26"/>
        </w:rPr>
        <w:t>Bảng `students` (kiteclass-core domain-plane).</w:t>
      </w:r>
      <w:r>
        <w:rPr>
          <w:rFonts w:ascii="Times New Roman" w:hAnsi="Times New Roman" w:eastAsia="Times New Roman"/>
          <w:b w:val="0"/>
          <w:i w:val="0"/>
          <w:sz w:val="26"/>
        </w:rPr>
        <w:t xml:space="preserve"> 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lưu hồ sơ học sinh đã đăng ký tại tenant. Bảng này có volume lớn nhất trong các bảng domain (mục tiêu 50-500 học sinh/tenant ở giai đoạn thử nghiệm).</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Trong giai đoạn thử nghiệm cho trung tâm dạy thêm SMB, các trường nhạy cảm cao (CMND/CCCD, mã định danh học sinh quốc gia) không được lưu trữ; khi mở rộng sang K-12 ở giai đoạn vận hành chính thức, các yêu cầu của DPO/DPIA sẽ bổ sung trường mã hoá riêng cho thông tin trẻ vị thành niên.</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4 gói dịch vụ (Bảng 2.11) — giai đoạn thử nghiệm kiểm thử FREE + STARTER; PRO và PRO_PLUS kích hoạt giai đoạn vận hành chính thức.</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Gói</w:t>
            </w:r>
          </w:p>
        </w:tc>
        <w:tc>
          <w:tcPr>
            <w:tcW w:type="dxa" w:w="1234"/>
          </w:tcPr>
          <w:p>
            <w:pPr>
              <w:jc w:val="center"/>
            </w:pPr>
            <w:r>
              <w:rPr>
                <w:b/>
                <w:sz w:val="24"/>
              </w:rPr>
            </w:r>
            <w:r>
              <w:rPr>
                <w:rFonts w:ascii="Times New Roman" w:hAnsi="Times New Roman" w:eastAsia="Times New Roman"/>
                <w:b/>
                <w:i w:val="0"/>
                <w:sz w:val="24"/>
              </w:rPr>
              <w:t>Giá tháng</w:t>
            </w:r>
          </w:p>
        </w:tc>
        <w:tc>
          <w:tcPr>
            <w:tcW w:type="dxa" w:w="1234"/>
          </w:tcPr>
          <w:p>
            <w:pPr>
              <w:jc w:val="center"/>
            </w:pPr>
            <w:r>
              <w:rPr>
                <w:b/>
                <w:sz w:val="24"/>
              </w:rPr>
            </w:r>
            <w:r>
              <w:rPr>
                <w:rFonts w:ascii="Times New Roman" w:hAnsi="Times New Roman" w:eastAsia="Times New Roman"/>
                <w:b/>
                <w:i w:val="0"/>
                <w:sz w:val="24"/>
              </w:rPr>
              <w:t>Số học sinh</w:t>
            </w:r>
          </w:p>
        </w:tc>
        <w:tc>
          <w:tcPr>
            <w:tcW w:type="dxa" w:w="1234"/>
          </w:tcPr>
          <w:p>
            <w:pPr>
              <w:jc w:val="center"/>
            </w:pPr>
            <w:r>
              <w:rPr>
                <w:b/>
                <w:sz w:val="24"/>
              </w:rPr>
            </w:r>
            <w:r>
              <w:rPr>
                <w:rFonts w:ascii="Times New Roman" w:hAnsi="Times New Roman" w:eastAsia="Times New Roman"/>
                <w:b/>
                <w:i w:val="0"/>
                <w:sz w:val="24"/>
              </w:rPr>
              <w:t>Số lớp</w:t>
            </w:r>
          </w:p>
        </w:tc>
        <w:tc>
          <w:tcPr>
            <w:tcW w:type="dxa" w:w="1234"/>
          </w:tcPr>
          <w:p>
            <w:pPr>
              <w:jc w:val="center"/>
            </w:pPr>
            <w:r>
              <w:rPr>
                <w:b/>
                <w:sz w:val="24"/>
              </w:rPr>
            </w:r>
            <w:r>
              <w:rPr>
                <w:rFonts w:ascii="Times New Roman" w:hAnsi="Times New Roman" w:eastAsia="Times New Roman"/>
                <w:b/>
                <w:i w:val="0"/>
                <w:sz w:val="24"/>
              </w:rPr>
              <w:t>AI tạo lại/ngày</w:t>
            </w:r>
          </w:p>
        </w:tc>
        <w:tc>
          <w:tcPr>
            <w:tcW w:type="dxa" w:w="1234"/>
          </w:tcPr>
          <w:p>
            <w:pPr>
              <w:jc w:val="center"/>
            </w:pPr>
            <w:r>
              <w:rPr>
                <w:b/>
                <w:sz w:val="24"/>
              </w:rPr>
            </w:r>
            <w:r>
              <w:rPr>
                <w:rFonts w:ascii="Times New Roman" w:hAnsi="Times New Roman" w:eastAsia="Times New Roman"/>
                <w:b/>
                <w:i w:val="0"/>
                <w:sz w:val="24"/>
              </w:rPr>
              <w:t>Subdomain riêng</w:t>
            </w:r>
          </w:p>
        </w:tc>
        <w:tc>
          <w:tcPr>
            <w:tcW w:type="dxa" w:w="1234"/>
          </w:tcPr>
          <w:p>
            <w:pPr>
              <w:jc w:val="center"/>
            </w:pPr>
            <w:r>
              <w:rPr>
                <w:b/>
                <w:sz w:val="24"/>
              </w:rPr>
            </w:r>
            <w:r>
              <w:rPr>
                <w:rFonts w:ascii="Times New Roman" w:hAnsi="Times New Roman" w:eastAsia="Times New Roman"/>
                <w:b/>
                <w:i w:val="0"/>
                <w:sz w:val="24"/>
              </w:rPr>
              <w:t>Email DKIM-verified</w:t>
            </w:r>
          </w:p>
        </w:tc>
      </w:tr>
      <w:tr>
        <w:tc>
          <w:tcPr>
            <w:tcW w:type="dxa" w:w="1234"/>
          </w:tcPr>
          <w:p>
            <w:r>
              <w:rPr>
                <w:sz w:val="24"/>
              </w:rPr>
            </w:r>
            <w:r>
              <w:rPr>
                <w:rFonts w:ascii="Times New Roman" w:hAnsi="Times New Roman" w:eastAsia="Times New Roman"/>
                <w:b w:val="0"/>
                <w:i w:val="0"/>
                <w:sz w:val="24"/>
              </w:rPr>
              <w:t>FREE</w:t>
            </w:r>
          </w:p>
        </w:tc>
        <w:tc>
          <w:tcPr>
            <w:tcW w:type="dxa" w:w="1234"/>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STARTER</w:t>
            </w:r>
          </w:p>
        </w:tc>
        <w:tc>
          <w:tcPr>
            <w:tcW w:type="dxa" w:w="1234"/>
          </w:tcPr>
          <w:p>
            <w:r>
              <w:rPr>
                <w:sz w:val="24"/>
              </w:rPr>
            </w:r>
            <w:r>
              <w:rPr>
                <w:rFonts w:ascii="Times New Roman" w:hAnsi="Times New Roman" w:eastAsia="Times New Roman"/>
                <w:b w:val="0"/>
                <w:i/>
                <w:sz w:val="24"/>
              </w:rPr>
              <w:t>500.000đ/tháng</w:t>
            </w:r>
          </w:p>
        </w:tc>
        <w:tc>
          <w:tcPr>
            <w:tcW w:type="dxa" w:w="1234"/>
          </w:tcPr>
          <w:p>
            <w:r>
              <w:rPr>
                <w:sz w:val="24"/>
              </w:rPr>
            </w:r>
            <w:r>
              <w:rPr>
                <w:rFonts w:ascii="Times New Roman" w:hAnsi="Times New Roman" w:eastAsia="Times New Roman"/>
                <w:b w:val="0"/>
                <w:i w:val="0"/>
                <w:sz w:val="24"/>
              </w:rPr>
              <w:t>100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r>
              <w:rPr>
                <w:rFonts w:ascii="Times New Roman" w:hAnsi="Times New Roman" w:eastAsia="Times New Roman"/>
                <w:b w:val="0"/>
                <w:i w:val="0"/>
                <w:sz w:val="24"/>
              </w:rPr>
              <w:t>10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w:t>
            </w:r>
          </w:p>
        </w:tc>
        <w:tc>
          <w:tcPr>
            <w:tcW w:type="dxa" w:w="1234"/>
          </w:tcPr>
          <w:p>
            <w:r>
              <w:rPr>
                <w:sz w:val="24"/>
              </w:rPr>
            </w:r>
            <w:r>
              <w:rPr>
                <w:rFonts w:ascii="Times New Roman" w:hAnsi="Times New Roman" w:eastAsia="Times New Roman"/>
                <w:b w:val="0"/>
                <w:i/>
                <w:sz w:val="24"/>
              </w:rPr>
              <w:t>1.500.000đ/tháng</w:t>
            </w:r>
          </w:p>
        </w:tc>
        <w:tc>
          <w:tcPr>
            <w:tcW w:type="dxa" w:w="1234"/>
          </w:tcPr>
          <w:p>
            <w:r>
              <w:rPr>
                <w:sz w:val="24"/>
              </w:rPr>
            </w:r>
            <w:r>
              <w:rPr>
                <w:rFonts w:ascii="Times New Roman" w:hAnsi="Times New Roman" w:eastAsia="Times New Roman"/>
                <w:b w:val="0"/>
                <w:i w:val="0"/>
                <w:sz w:val="24"/>
              </w:rPr>
              <w:t>500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r>
              <w:rPr>
                <w:rFonts w:ascii="Times New Roman" w:hAnsi="Times New Roman" w:eastAsia="Times New Roman"/>
                <w:b w:val="0"/>
                <w:i w:val="0"/>
                <w:sz w:val="24"/>
              </w:rPr>
              <w:t>50</w:t>
            </w:r>
          </w:p>
        </w:tc>
        <w:tc>
          <w:tcPr>
            <w:tcW w:type="dxa" w:w="1234"/>
          </w:tcPr>
          <w:p>
            <w:r>
              <w:rPr>
                <w:sz w:val="24"/>
              </w:rPr>
            </w:r>
          </w:p>
        </w:tc>
        <w:tc>
          <w:tcPr>
            <w:tcW w:type="dxa" w:w="1234"/>
          </w:tcPr>
          <w:p>
            <w:r>
              <w:rPr>
                <w:sz w:val="24"/>
              </w:rPr>
            </w:r>
          </w:p>
        </w:tc>
      </w:tr>
      <w:tr>
        <w:tc>
          <w:tcPr>
            <w:tcW w:type="dxa" w:w="1234"/>
          </w:tcPr>
          <w:p>
            <w:r>
              <w:rPr>
                <w:sz w:val="24"/>
              </w:rPr>
            </w:r>
            <w:r>
              <w:rPr>
                <w:rFonts w:ascii="Times New Roman" w:hAnsi="Times New Roman" w:eastAsia="Times New Roman"/>
                <w:b w:val="0"/>
                <w:i w:val="0"/>
                <w:sz w:val="24"/>
              </w:rPr>
              <w:t>PRO_PLUS</w:t>
            </w:r>
          </w:p>
        </w:tc>
        <w:tc>
          <w:tcPr>
            <w:tcW w:type="dxa" w:w="1234"/>
          </w:tcPr>
          <w:p>
            <w:r>
              <w:rPr>
                <w:sz w:val="24"/>
              </w:rPr>
            </w:r>
            <w:r>
              <w:rPr>
                <w:rFonts w:ascii="Times New Roman" w:hAnsi="Times New Roman" w:eastAsia="Times New Roman"/>
                <w:b w:val="0"/>
                <w:i/>
                <w:sz w:val="24"/>
              </w:rPr>
              <w:t>5.000.000đ/tháng</w:t>
            </w:r>
          </w:p>
        </w:tc>
        <w:tc>
          <w:tcPr>
            <w:tcW w:type="dxa" w:w="1234"/>
          </w:tcPr>
          <w:p>
            <w:r>
              <w:rPr>
                <w:sz w:val="24"/>
              </w:rPr>
            </w:r>
            <w:r>
              <w:rPr>
                <w:rFonts w:ascii="Times New Roman" w:hAnsi="Times New Roman" w:eastAsia="Times New Roman"/>
                <w:b w:val="0"/>
                <w:i w:val="0"/>
                <w:sz w:val="24"/>
              </w:rPr>
              <w:t>2000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r>
              <w:rPr>
                <w:rFonts w:ascii="Times New Roman" w:hAnsi="Times New Roman" w:eastAsia="Times New Roman"/>
                <w:b w:val="0"/>
                <w:i w:val="0"/>
                <w:sz w:val="24"/>
              </w:rPr>
              <w:t>200</w:t>
            </w:r>
          </w:p>
        </w:tc>
        <w:tc>
          <w:tcPr>
            <w:tcW w:type="dxa" w:w="1234"/>
          </w:tcPr>
          <w:p>
            <w:r>
              <w:rPr>
                <w:sz w:val="24"/>
              </w:rPr>
            </w:r>
          </w:p>
        </w:tc>
        <w:tc>
          <w:tcPr>
            <w:tcW w:type="dxa" w:w="1234"/>
          </w:tcPr>
          <w:p>
            <w:r>
              <w:rPr>
                <w:sz w:val="24"/>
              </w:rPr>
            </w:r>
            <w:r>
              <w:rPr>
                <w:rFonts w:ascii="Times New Roman" w:hAnsi="Times New Roman" w:eastAsia="Times New Roman"/>
                <w:b w:val="0"/>
                <w:i w:val="0"/>
                <w:sz w:val="24"/>
              </w:rPr>
              <w:t>+ IP riêng</w:t>
            </w:r>
          </w:p>
        </w:tc>
      </w:tr>
    </w:tbl>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Giai đoạn thử nghiệm dùng VietQR thủ công: chủ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giai đoạn xác thực sản phẩm.</w:t>
      </w:r>
    </w:p>
    <w:p>
      <w:pPr>
        <w:spacing w:line="288" w:lineRule="auto"/>
        <w:ind w:firstLine="567"/>
        <w:jc w:val="both"/>
      </w:pPr>
      <w:r>
        <w:rPr>
          <w:rFonts w:ascii="Times New Roman" w:hAnsi="Times New Roman" w:eastAsia="Times New Roman"/>
          <w:b w:val="0"/>
          <w:i w:val="0"/>
          <w:sz w:val="26"/>
        </w:rPr>
        <w:t>Roadmap giai đoạn vận hành chính thức: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PHÂN TÍCH, THIẾT KẾ VÀ TRIỂN KHAI HỆ THỐNG</w:t>
      </w:r>
    </w:p>
    <w:p>
      <w:pPr>
        <w:pStyle w:val="Heading2"/>
      </w:pPr>
      <w:r>
        <w:rPr>
          <w:rFonts w:ascii="Times New Roman" w:hAnsi="Times New Roman" w:eastAsia="Times New Roman"/>
          <w:b/>
          <w:color w:val="000000"/>
          <w:sz w:val="32"/>
        </w:rPr>
        <w:t>3.1 Công nghệ sử dụng</w:t>
      </w:r>
    </w:p>
    <w:p>
      <w:pPr>
        <w:spacing w:line="288" w:lineRule="auto"/>
        <w:ind w:firstLine="567"/>
        <w:jc w:val="both"/>
      </w:pPr>
      <w:r>
        <w:rPr>
          <w:rFonts w:ascii="Times New Roman" w:hAnsi="Times New Roman" w:eastAsia="Times New Roman"/>
          <w:b w:val="0"/>
          <w:i w:val="0"/>
          <w:sz w:val="26"/>
        </w:rPr>
        <w:t>Trước khi đi vào các đoạn mã đại diện, mục này tổng hợp công nghệ, công cụ và ngôn ngữ lập trình được sử dụng theo từng giai đoạn phát triển nền tảng KiteHub Platform.</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1.x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3"/>
      </w:pPr>
      <w:r>
        <w:rPr>
          <w:rFonts w:ascii="Times New Roman" w:hAnsi="Times New Roman" w:eastAsia="Times New Roman"/>
          <w:b/>
          <w:color w:val="000000"/>
          <w:sz w:val="28"/>
        </w:rPr>
        <w:t>3.1.6 Tổ chức source code</w:t>
      </w:r>
    </w:p>
    <w:p>
      <w:pPr>
        <w:spacing w:line="240" w:lineRule="auto" w:before="0" w:after="0"/>
        <w:ind w:left="283"/>
      </w:pPr>
      <w:r>
        <w:rPr>
          <w:rFonts w:ascii="Times New Roman" w:hAnsi="Times New Roman" w:eastAsia="Times New Roman"/>
          <w:b w:val="0"/>
          <w:i/>
          <w:sz w:val="22"/>
        </w:rPr>
        <w:t>kitehub/</w:t>
      </w:r>
    </w:p>
    <w:p>
      <w:pPr>
        <w:spacing w:line="240" w:lineRule="auto" w:before="0" w:after="0"/>
        <w:ind w:left="283"/>
      </w:pPr>
      <w:r>
        <w:rPr>
          <w:rFonts w:ascii="Times New Roman" w:hAnsi="Times New Roman" w:eastAsia="Times New Roman"/>
          <w:b w:val="0"/>
          <w:i/>
          <w:sz w:val="22"/>
        </w:rPr>
        <w:t>├── kitehub-gateway/           ~ 4,200 LOC      # API Gateway (Spring Cloud Gateway)</w:t>
      </w:r>
    </w:p>
    <w:p>
      <w:pPr>
        <w:spacing w:line="240" w:lineRule="auto" w:before="0" w:after="0"/>
        <w:ind w:left="283"/>
      </w:pPr>
      <w:r>
        <w:rPr>
          <w:rFonts w:ascii="Times New Roman" w:hAnsi="Times New Roman" w:eastAsia="Times New Roman"/>
          <w:b w:val="0"/>
          <w:i/>
          <w:sz w:val="22"/>
        </w:rPr>
        <w:t>├── kitehub-platform/          ~ 5,800 LOC      # Tenant lifecycle service</w:t>
      </w:r>
    </w:p>
    <w:p>
      <w:pPr>
        <w:spacing w:line="240" w:lineRule="auto" w:before="0" w:after="0"/>
        <w:ind w:left="283"/>
      </w:pPr>
      <w:r>
        <w:rPr>
          <w:rFonts w:ascii="Times New Roman" w:hAnsi="Times New Roman" w:eastAsia="Times New Roman"/>
          <w:b w:val="0"/>
          <w:i/>
          <w:sz w:val="22"/>
        </w:rPr>
        <w:t>├── kitehub-subscription/      ~ 7,100 LOC      # Subscription + billing service</w:t>
      </w:r>
    </w:p>
    <w:p>
      <w:pPr>
        <w:spacing w:line="240" w:lineRule="auto" w:before="0" w:after="0"/>
        <w:ind w:left="283"/>
      </w:pPr>
      <w:r>
        <w:rPr>
          <w:rFonts w:ascii="Times New Roman" w:hAnsi="Times New Roman" w:eastAsia="Times New Roman"/>
          <w:b w:val="0"/>
          <w:i/>
          <w:sz w:val="22"/>
        </w:rPr>
        <w:t>├── kitehub-branding/          ~ 5,500 LOC      # AI Branding service</w:t>
      </w:r>
    </w:p>
    <w:p>
      <w:pPr>
        <w:spacing w:line="240" w:lineRule="auto" w:before="0" w:after="0"/>
        <w:ind w:left="283"/>
      </w:pPr>
      <w:r>
        <w:rPr>
          <w:rFonts w:ascii="Times New Roman" w:hAnsi="Times New Roman" w:eastAsia="Times New Roman"/>
          <w:b w:val="0"/>
          <w:i/>
          <w:sz w:val="22"/>
        </w:rPr>
        <w:t>├── kitehub-email/             ~ 3,900 LOC      # Email notification service</w:t>
      </w:r>
    </w:p>
    <w:p>
      <w:pPr>
        <w:spacing w:line="240" w:lineRule="auto" w:before="0" w:after="0"/>
        <w:ind w:left="283"/>
      </w:pPr>
      <w:r>
        <w:rPr>
          <w:rFonts w:ascii="Times New Roman" w:hAnsi="Times New Roman" w:eastAsia="Times New Roman"/>
          <w:b w:val="0"/>
          <w:i/>
          <w:sz w:val="22"/>
        </w:rPr>
        <w:t>├── kitehub-admin/             ~ 4,400 LOC      # Admin console service</w:t>
      </w:r>
    </w:p>
    <w:p>
      <w:pPr>
        <w:spacing w:line="240" w:lineRule="auto" w:before="0" w:after="0"/>
        <w:ind w:left="283"/>
      </w:pPr>
      <w:r>
        <w:rPr>
          <w:rFonts w:ascii="Times New Roman" w:hAnsi="Times New Roman" w:eastAsia="Times New Roman"/>
          <w:b w:val="0"/>
          <w:i/>
          <w:sz w:val="22"/>
        </w:rPr>
        <w:t>├── kitehub-frontend/          ~ 12,800 LOC     # Next.js marketing + admin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kiteclass/</w:t>
      </w:r>
    </w:p>
    <w:p>
      <w:pPr>
        <w:spacing w:line="240" w:lineRule="auto" w:before="0" w:after="0"/>
        <w:ind w:left="283"/>
      </w:pPr>
      <w:r>
        <w:rPr>
          <w:rFonts w:ascii="Times New Roman" w:hAnsi="Times New Roman" w:eastAsia="Times New Roman"/>
          <w:b w:val="0"/>
          <w:i/>
          <w:sz w:val="22"/>
        </w:rPr>
        <w:t>├── kiteclass-core/            ~ 9,600 LOC      # Tenant application core</w:t>
      </w:r>
    </w:p>
    <w:p>
      <w:pPr>
        <w:spacing w:line="240" w:lineRule="auto" w:before="0" w:after="0"/>
        <w:ind w:left="283"/>
      </w:pPr>
      <w:r>
        <w:rPr>
          <w:rFonts w:ascii="Times New Roman" w:hAnsi="Times New Roman" w:eastAsia="Times New Roman"/>
          <w:b w:val="0"/>
          <w:i/>
          <w:sz w:val="22"/>
        </w:rPr>
        <w:t>├── kiteclass-frontend/        ~ 8,500 LOC      # Next.js tenant frontend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infrastructure/</w:t>
      </w:r>
    </w:p>
    <w:p>
      <w:pPr>
        <w:spacing w:line="240" w:lineRule="auto" w:before="0" w:after="0"/>
        <w:ind w:left="283"/>
      </w:pPr>
      <w:r>
        <w:rPr>
          <w:rFonts w:ascii="Times New Roman" w:hAnsi="Times New Roman" w:eastAsia="Times New Roman"/>
          <w:b w:val="0"/>
          <w:i/>
          <w:sz w:val="22"/>
        </w:rPr>
        <w:t>├── terraform-aws/             ~ 2,400 LOC      # AWS provisioning</w:t>
      </w:r>
    </w:p>
    <w:p>
      <w:pPr>
        <w:spacing w:line="240" w:lineRule="auto" w:before="0" w:after="0"/>
        <w:ind w:left="283"/>
      </w:pPr>
      <w:r>
        <w:rPr>
          <w:rFonts w:ascii="Times New Roman" w:hAnsi="Times New Roman" w:eastAsia="Times New Roman"/>
          <w:b w:val="0"/>
          <w:i/>
          <w:sz w:val="22"/>
        </w:rPr>
        <w:t>├── helm/                      ~ 3,500 LOC      # Kubernetes manifests (deferred — current deploy = EC2 direct)</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(tooling + tài liệu nội bộ)    ~ 12,000 LOC</w:t>
      </w:r>
    </w:p>
    <w:p>
      <w:pPr>
        <w:spacing w:line="288" w:lineRule="auto"/>
        <w:ind w:firstLine="567"/>
        <w:jc w:val="both"/>
      </w:pPr>
      <w:r>
        <w:rPr>
          <w:rFonts w:ascii="Times New Roman" w:hAnsi="Times New Roman" w:eastAsia="Times New Roman"/>
          <w:b w:val="0"/>
          <w:i w:val="0"/>
          <w:sz w:val="26"/>
        </w:rPr>
        <w:t xml:space="preserve">Tổng quy mô codebase ước tính khoảng 80.000 dòng (chưa tính tests và config), thể hiện tính chất production-grade của nền tảng. Chương này tập trung trình bày kết quả triển khai sản phẩm (giao diện người dùng) và kết quả kiểm thử + đánh giá chất lượng — code-level snippet analysis được lược bỏ khỏi flow chính theo convention báo cáo cử nhân CNTT (backup tại </w:t>
      </w:r>
      <w:r>
        <w:rPr>
          <w:rFonts w:ascii="Times New Roman" w:hAnsi="Times New Roman" w:eastAsia="Times New Roman"/>
          <w:b w:val="0"/>
          <w:i/>
          <w:sz w:val="26"/>
        </w:rPr>
        <w:t>chapter-3-code-snippets-backup-2026-05-20.md</w:t>
      </w:r>
      <w:r>
        <w:rPr>
          <w:rFonts w:ascii="Times New Roman" w:hAnsi="Times New Roman" w:eastAsia="Times New Roman"/>
          <w:b w:val="0"/>
          <w:i w:val="0"/>
          <w:sz w:val="26"/>
        </w:rPr>
        <w:t>).</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trong giai đoạn thử nghiệm theo ba luồng nghiệp vụ liên kết: hành trình khám phá và kích hoạt tenant của Chủ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(Anonymous → Chủ trung tâm)</w:t>
      </w:r>
    </w:p>
    <w:p>
      <w:pPr>
        <w:spacing w:before="120" w:after="60"/>
        <w:jc w:val="center"/>
      </w:pPr>
      <w:r>
        <w:drawing>
          <wp:inline xmlns:a="http://schemas.openxmlformats.org/drawingml/2006/main" xmlns:pic="http://schemas.openxmlformats.org/drawingml/2006/picture">
            <wp:extent cx="5760000" cy="3600000"/>
            <wp:docPr id="15" name="Picture 15"/>
            <wp:cNvGraphicFramePr>
              <a:graphicFrameLocks noChangeAspect="1"/>
            </wp:cNvGraphicFramePr>
            <a:graphic>
              <a:graphicData uri="http://schemas.openxmlformats.org/drawingml/2006/picture">
                <pic:pic>
                  <pic:nvPicPr>
                    <pic:cNvPr id="0" name="01-marketing-landing.png"/>
                    <pic:cNvPicPr/>
                  </pic:nvPicPr>
                  <pic:blipFill>
                    <a:blip r:embed="rId23"/>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6" name="Picture 16"/>
            <wp:cNvGraphicFramePr>
              <a:graphicFrameLocks noChangeAspect="1"/>
            </wp:cNvGraphicFramePr>
            <a:graphic>
              <a:graphicData uri="http://schemas.openxmlformats.org/drawingml/2006/picture">
                <pic:pic>
                  <pic:nvPicPr>
                    <pic:cNvPr id="0" name="02-signup-wizard-step1.png"/>
                    <pic:cNvPicPr/>
                  </pic:nvPicPr>
                  <pic:blipFill>
                    <a:blip r:embed="rId24"/>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7" name="Picture 17"/>
            <wp:cNvGraphicFramePr>
              <a:graphicFrameLocks noChangeAspect="1"/>
            </wp:cNvGraphicFramePr>
            <a:graphic>
              <a:graphicData uri="http://schemas.openxmlformats.org/drawingml/2006/picture">
                <pic:pic>
                  <pic:nvPicPr>
                    <pic:cNvPr id="0" name="04-tenant-provisioning-success.png"/>
                    <pic:cNvPicPr/>
                  </pic:nvPicPr>
                  <pic:blipFill>
                    <a:blip r:embed="rId25"/>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18" name="Picture 18"/>
            <wp:cNvGraphicFramePr>
              <a:graphicFrameLocks noChangeAspect="1"/>
            </wp:cNvGraphicFramePr>
            <a:graphic>
              <a:graphicData uri="http://schemas.openxmlformats.org/drawingml/2006/picture">
                <pic:pic>
                  <pic:nvPicPr>
                    <pic:cNvPr id="0" name="03-owner-dashboard-first-login.png"/>
                    <pic:cNvPicPr/>
                  </pic:nvPicPr>
                  <pic:blipFill>
                    <a:blip r:embed="rId26"/>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bốn bước nối tiếp từ trang chủ marketing đến dashboard sau đăng nhập đầu tiên</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khám phá và kích hoạt tenant đưa anonymous prospect từ điểm tiếp xúc đầu tiên đến trạng thái vận hành đầy đủ thông qua bốn bước nối tiếp. Bước (a) trang chủ marketing đóng vai trò "first impression" với layout 3-fold gồm hero section "Nền tảng quản lý trung tâm dạy thêm" cùng ba giá trị cốt lõi (Multi-tenant isolation, AI Branding, Bộ tính năng quản lý lớp đầy đủ) và CTA chính "Yêu cầu truy cập Beta"; toàn bộ tone tiếng Việt formal-friendly với sample data Việt Nam (Trung tâm Anh ngữ Sky Education tên giả định, Lớp Anh ngữ 5A1). Bước (b) Wizard đăng ký yêu cầu 4 trường tối thiểu (họ tên, email, tên trung tâm dự kiến, quy mô) không yêu cầu mật khẩu — admin nền tảng review request và gửi claim code 6 chữ số qua email; form validation client-side bằng React Hook Form + Zod và server-side bổ sung honeypot field chống bot với rate-limit 24 giờ per email. Bước (c) sau khi người dùng exchange claim code thành công, hệ thống tạo tenant mới với atomic transaction (INSERT tenant + INSERT user + UPDATE beta_request status — chi tiết tại Chương 4), cấp subdomain </w:t>
      </w:r>
      <w:r>
        <w:rPr>
          <w:rFonts w:ascii="Times New Roman" w:hAnsi="Times New Roman" w:eastAsia="Times New Roman"/>
          <w:b w:val="0"/>
          <w:i/>
          <w:sz w:val="26"/>
        </w:rPr>
        <w:t>https://sky-edu.kitehub.me</w:t>
      </w:r>
      <w:r>
        <w:rPr>
          <w:rFonts w:ascii="Times New Roman" w:hAnsi="Times New Roman" w:eastAsia="Times New Roman"/>
          <w:b w:val="0"/>
          <w:i w:val="0"/>
          <w:sz w:val="26"/>
        </w:rPr>
        <w:t xml:space="preserve"> và CTA "Đăng nhập ngay" tự động redirect tới </w:t>
      </w:r>
      <w:r>
        <w:rPr>
          <w:rFonts w:ascii="Times New Roman" w:hAnsi="Times New Roman" w:eastAsia="Times New Roman"/>
          <w:b w:val="0"/>
          <w:i/>
          <w:sz w:val="26"/>
        </w:rPr>
        <w:t>/dashboard</w:t>
      </w:r>
      <w:r>
        <w:rPr>
          <w:rFonts w:ascii="Times New Roman" w:hAnsi="Times New Roman" w:eastAsia="Times New Roman"/>
          <w:b w:val="0"/>
          <w:i w:val="0"/>
          <w:sz w:val="26"/>
        </w:rPr>
        <w:t xml:space="preserve"> với JWT đã có sẵn. Bước (d) lần đăng nhập đầu tiên hiển thị ba thành phần chính cho Chủ trung tâm: 3 KPI card ("Doanh thu tháng", "Số học sinh", "Số lớp" mặc định </w:t>
      </w:r>
      <w:r>
        <w:rPr>
          <w:rFonts w:ascii="Times New Roman" w:hAnsi="Times New Roman" w:eastAsia="Times New Roman"/>
          <w:b w:val="0"/>
          <w:i/>
          <w:sz w:val="26"/>
        </w:rPr>
        <w:t>0đ</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w:t>
      </w:r>
      <w:r>
        <w:rPr>
          <w:rFonts w:ascii="Times New Roman" w:hAnsi="Times New Roman" w:eastAsia="Times New Roman"/>
          <w:b w:val="0"/>
          <w:i/>
          <w:sz w:val="26"/>
        </w:rPr>
        <w:t>0</w:t>
      </w:r>
      <w:r>
        <w:rPr>
          <w:rFonts w:ascii="Times New Roman" w:hAnsi="Times New Roman" w:eastAsia="Times New Roman"/>
          <w:b w:val="0"/>
          <w:i w:val="0"/>
          <w:sz w:val="26"/>
        </w:rPr>
        <w:t xml:space="preserve">), onboarding checklist 5 bước (Tạo lớp đầu tiên / Thêm học sinh / Tạo lịch học / Cấu hình thanh toán / Mời giáo viên đồng nghiệp), và sample data toggle cho phép load dữ liệu mẫu (giáo viên giả định Trần Thị Hồng + 4 học sinh + 1 lớp Anh ngữ 5A1); format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cùng date tiếng Việt </w:t>
      </w:r>
      <w:r>
        <w:rPr>
          <w:rFonts w:ascii="Times New Roman" w:hAnsi="Times New Roman" w:eastAsia="Times New Roman"/>
          <w:b w:val="0"/>
          <w:i/>
          <w:sz w:val="26"/>
        </w:rPr>
        <w:t>Thứ Hai, 20/05/2026</w:t>
      </w:r>
      <w:r>
        <w:rPr>
          <w:rFonts w:ascii="Times New Roman" w:hAnsi="Times New Roman" w:eastAsia="Times New Roman"/>
          <w:b w:val="0"/>
          <w:i w:val="0"/>
          <w:sz w:val="26"/>
        </w:rPr>
        <w:t xml:space="preserve"> áp dụng đồng nhất.</w:t>
      </w:r>
    </w:p>
    <w:p>
      <w:pPr>
        <w:pStyle w:val="Heading3"/>
      </w:pPr>
      <w:r>
        <w:rPr>
          <w:rFonts w:ascii="Times New Roman" w:hAnsi="Times New Roman" w:eastAsia="Times New Roman"/>
          <w:b/>
          <w:color w:val="000000"/>
          <w:sz w:val="28"/>
        </w:rPr>
        <w:t>3.2.2 Luồng vận hành nghiệp vụ thường nhật (Chủ trung tâm / Manager)</w:t>
      </w:r>
    </w:p>
    <w:p>
      <w:pPr>
        <w:spacing w:before="120" w:after="60"/>
        <w:jc w:val="center"/>
      </w:pPr>
      <w:r>
        <w:drawing>
          <wp:inline xmlns:a="http://schemas.openxmlformats.org/drawingml/2006/main" xmlns:pic="http://schemas.openxmlformats.org/drawingml/2006/picture">
            <wp:extent cx="5760000" cy="3600000"/>
            <wp:docPr id="19" name="Picture 19"/>
            <wp:cNvGraphicFramePr>
              <a:graphicFrameLocks noChangeAspect="1"/>
            </wp:cNvGraphicFramePr>
            <a:graphic>
              <a:graphicData uri="http://schemas.openxmlformats.org/drawingml/2006/picture">
                <pic:pic>
                  <pic:nvPicPr>
                    <pic:cNvPr id="0" name="05-class-management.png"/>
                    <pic:cNvPicPr/>
                  </pic:nvPicPr>
                  <pic:blipFill>
                    <a:blip r:embed="rId27"/>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0" name="Picture 20"/>
            <wp:cNvGraphicFramePr>
              <a:graphicFrameLocks noChangeAspect="1"/>
            </wp:cNvGraphicFramePr>
            <a:graphic>
              <a:graphicData uri="http://schemas.openxmlformats.org/drawingml/2006/picture">
                <pic:pic>
                  <pic:nvPicPr>
                    <pic:cNvPr id="0" name="06-invoice-generation.png"/>
                    <pic:cNvPicPr/>
                  </pic:nvPicPr>
                  <pic:blipFill>
                    <a:blip r:embed="rId28"/>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Luồng vận hành nghiệp vụ thường nhật gồm giao diện quản lý lớp học và giao diện tạo hóa đơn với định dạng VND</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 xml:space="preserve">Luồng vận hành nghiệp vụ thường nhật bao gồm hai chức năng cốt lõi mà Chủ trung tâm và Manager sử dụng hằng ngày sau khi tenant đã kích hoạt. Bước (a) giao diện quản lý lớp học hiển thị danh sách toàn bộ lớp của tenant với các cột Mã lớp, Tên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Giáo viên chủ nhiệm, Số học sinh, Lịch học, Trạng thái (Đang hoạt động / Tạm nghỉ / Đã kết thúc) và Hành động (Xem chi tiết / Sửa / Lưu trữ); bảng hỗ trợ filter combo theo trạng thái, giáo viên và môn học cùng search theo tên hoặc mã lớp, trong khi bulk actions cho phép chọn nhiều lớp để gửi thông báo Zalo group hoặc export Excel danh sách điểm danh, và CTA "Tạo lớp mới" mở wizard 4 bước (thông tin cơ bản → lịch học Mon-Sat theo VN edu convention → danh sách học sinh → cấu hình học phí). Bước (b) form tạo hóa đơn cho phép Chủ trung tâm hoặc Manager tạo hóa đơn cá nhân hoặc batch theo lớp với layout 2 cột — cột trái nhập học sinh, lớp, tháng/kỳ học, học phí gốc, giảm giá, phụ thu và hạn thanh toán; cột phải preview hóa đơn realtime với header "HÓA ĐƠN ĐIỆN TỬ" theo convention VN, mã số thuế tenant (nếu có), tổng tiền </w:t>
      </w:r>
      <w:r>
        <w:rPr>
          <w:rFonts w:ascii="Times New Roman" w:hAnsi="Times New Roman" w:eastAsia="Times New Roman"/>
          <w:b w:val="0"/>
          <w:i/>
          <w:sz w:val="26"/>
        </w:rPr>
        <w:t>Tổng cộng: 1.500.000đ</w:t>
      </w:r>
      <w:r>
        <w:rPr>
          <w:rFonts w:ascii="Times New Roman" w:hAnsi="Times New Roman" w:eastAsia="Times New Roman"/>
          <w:b w:val="0"/>
          <w:i w:val="0"/>
          <w:sz w:val="26"/>
        </w:rPr>
        <w:t xml:space="preserve"> VND format, cùng QR code VietQR để học sinh quét chuyển khoản trực tiếp qua Vietcombank, Techcombank hoặc MB merchant code; sau khi tạo hóa đơn được gửi qua ba kênh đồng thời (email PDF cho phụ huynh, link Zalo group cha mẹ, và lưu trong tài khoản học sinh trên dashboard). Trong giai đoạn thử nghiệm, payment gateway integration (Stripe, MoMo, VNPay) hoãn sang giai đoạn thương mại hóa do yêu cầu giấy phép PSP, do đó tenant đối soát thủ công qua chuyển khoản ngân hàng.</w:t>
      </w:r>
    </w:p>
    <w:p>
      <w:pPr>
        <w:pStyle w:val="Heading3"/>
      </w:pPr>
      <w:r>
        <w:rPr>
          <w:rFonts w:ascii="Times New Roman" w:hAnsi="Times New Roman" w:eastAsia="Times New Roman"/>
          <w:b/>
          <w:color w:val="000000"/>
          <w:sz w:val="28"/>
        </w:rPr>
        <w:t>3.2.3 Luồng điều hành Admin nền tảng (Platform Admin)</w:t>
      </w:r>
    </w:p>
    <w:p>
      <w:pPr>
        <w:spacing w:before="120" w:after="60"/>
        <w:jc w:val="center"/>
      </w:pPr>
      <w:r>
        <w:drawing>
          <wp:inline xmlns:a="http://schemas.openxmlformats.org/drawingml/2006/main" xmlns:pic="http://schemas.openxmlformats.org/drawingml/2006/picture">
            <wp:extent cx="5760000" cy="3600000"/>
            <wp:docPr id="21" name="Picture 21"/>
            <wp:cNvGraphicFramePr>
              <a:graphicFrameLocks noChangeAspect="1"/>
            </wp:cNvGraphicFramePr>
            <a:graphic>
              <a:graphicData uri="http://schemas.openxmlformats.org/drawingml/2006/picture">
                <pic:pic>
                  <pic:nvPicPr>
                    <pic:cNvPr id="0" name="07-welcome-email.png"/>
                    <pic:cNvPicPr/>
                  </pic:nvPicPr>
                  <pic:blipFill>
                    <a:blip r:embed="rId29"/>
                    <a:stretch>
                      <a:fillRect/>
                    </a:stretch>
                  </pic:blipFill>
                  <pic:spPr>
                    <a:xfrm>
                      <a:off x="0" y="0"/>
                      <a:ext cx="5760000" cy="3600000"/>
                    </a:xfrm>
                    <a:prstGeom prst="rect"/>
                  </pic:spPr>
                </pic:pic>
              </a:graphicData>
            </a:graphic>
          </wp:inline>
        </w:drawing>
      </w:r>
    </w:p>
    <w:p>
      <w:pPr>
        <w:spacing w:before="120" w:after="60"/>
        <w:jc w:val="center"/>
      </w:pPr>
      <w:r>
        <w:drawing>
          <wp:inline xmlns:a="http://schemas.openxmlformats.org/drawingml/2006/main" xmlns:pic="http://schemas.openxmlformats.org/drawingml/2006/picture">
            <wp:extent cx="5760000" cy="3600000"/>
            <wp:docPr id="22" name="Picture 22"/>
            <wp:cNvGraphicFramePr>
              <a:graphicFrameLocks noChangeAspect="1"/>
            </wp:cNvGraphicFramePr>
            <a:graphic>
              <a:graphicData uri="http://schemas.openxmlformats.org/drawingml/2006/picture">
                <pic:pic>
                  <pic:nvPicPr>
                    <pic:cNvPr id="0" name="08-admin-audit-log.png"/>
                    <pic:cNvPicPr/>
                  </pic:nvPicPr>
                  <pic:blipFill>
                    <a:blip r:embed="rId3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Luồng điều hành Admin nền tảng với preview template email và trang audit log immutable tuân thủ PDPL Article 11</w:t>
      </w:r>
    </w:p>
    <w:p>
      <w:pPr>
        <w:spacing w:line="288" w:lineRule="auto"/>
        <w:ind w:firstLine="567"/>
        <w:jc w:val="both"/>
      </w:pPr>
      <w:r>
        <w:rPr>
          <w:rFonts w:ascii="Times New Roman" w:hAnsi="Times New Roman" w:eastAsia="Times New Roman"/>
          <w:b w:val="0"/>
          <w:i/>
          <w:sz w:val="26"/>
        </w:rPr>
        <w:t>Nguồn: ảnh chụp giao diện KiteHub Platform, truy cập 20/05/2026</w:t>
      </w:r>
    </w:p>
    <w:p>
      <w:pPr>
        <w:spacing w:line="288" w:lineRule="auto"/>
        <w:ind w:firstLine="567"/>
        <w:jc w:val="both"/>
      </w:pPr>
      <w:r>
        <w:rPr>
          <w:rFonts w:ascii="Times New Roman" w:hAnsi="Times New Roman" w:eastAsia="Times New Roman"/>
          <w:b w:val="0"/>
          <w:i w:val="0"/>
          <w:sz w:val="26"/>
        </w:rPr>
        <w:t>Luồng điều hành Admin nền tảng bao gồm hai công cụ chính phục vụ vận hành giai đoạn thử nghiệm. Bước (a) giao diện preview template email cho phép Admin xem trước email trước khi gửi cho tenant với layout 2 cột — cột trái input các biến (tên người nhận, tên trung tâm, claim code, link kích hoạt, deadline kích hoạt), cột phải rendering preview email cho desktop và mobile responsive; subject line tone tiếng Việt formal-respectful (</w:t>
      </w:r>
      <w:r>
        <w:rPr>
          <w:rFonts w:ascii="Times New Roman" w:hAnsi="Times New Roman" w:eastAsia="Times New Roman"/>
          <w:b w:val="0"/>
          <w:i/>
          <w:sz w:val="26"/>
        </w:rPr>
        <w:t>Chào mừng anh/chị đến KiteHub — Tài khoản đã được kích hoạt</w:t>
      </w:r>
      <w:r>
        <w:rPr>
          <w:rFonts w:ascii="Times New Roman" w:hAnsi="Times New Roman" w:eastAsia="Times New Roman"/>
          <w:b w:val="0"/>
          <w:i w:val="0"/>
          <w:sz w:val="26"/>
        </w:rPr>
        <w:t xml:space="preserve">), greeting </w:t>
      </w:r>
      <w:r>
        <w:rPr>
          <w:rFonts w:ascii="Times New Roman" w:hAnsi="Times New Roman" w:eastAsia="Times New Roman"/>
          <w:b w:val="0"/>
          <w:i/>
          <w:sz w:val="26"/>
        </w:rPr>
        <w:t>Em chào chị Hồng,</w:t>
      </w:r>
      <w:r>
        <w:rPr>
          <w:rFonts w:ascii="Times New Roman" w:hAnsi="Times New Roman" w:eastAsia="Times New Roman"/>
          <w:b w:val="0"/>
          <w:i w:val="0"/>
          <w:sz w:val="26"/>
        </w:rPr>
        <w:t xml:space="preserve"> theo persona tone matrix, và email body bao gồm ba phần (lời mời sử dụng, hướng dẫn nhập claim code, CTA "Kích hoạt tài khoản ngay") cùng footer minh bạch về giai đoạn thử nghiệm khép kín 20 tenant; nút "Gửi thử cho admin" cho phép Admin test email rendering trước khi phát hành chính thức, và email được sign DKIM + SPF + DMARC qua AWS SES kết hợp Cloudflare DNS records để đảm bảo deliverability cao. Bước (b) trang audit log hiển thị toàn bộ hành động sensitive của Admin nền tảng dưới dạng bảng immutable — chỉ cho phép INSERT và cấm UPDATE/DELETE thông qua database trigger nhằm đảm bảo tamper-proof theo PDPL 2023 Article 11; các cột bao gồm Thời gian (</w:t>
      </w:r>
      <w:r>
        <w:rPr>
          <w:rFonts w:ascii="Times New Roman" w:hAnsi="Times New Roman" w:eastAsia="Times New Roman"/>
          <w:b w:val="0"/>
          <w:i/>
          <w:sz w:val="26"/>
        </w:rPr>
        <w:t>Thứ Hai, 20/05/2026 09:30</w:t>
      </w:r>
      <w:r>
        <w:rPr>
          <w:rFonts w:ascii="Times New Roman" w:hAnsi="Times New Roman" w:eastAsia="Times New Roman"/>
          <w:b w:val="0"/>
          <w:i w:val="0"/>
          <w:sz w:val="26"/>
        </w:rPr>
        <w:t>), Admin user (</w:t>
      </w:r>
      <w:r>
        <w:rPr>
          <w:rFonts w:ascii="Times New Roman" w:hAnsi="Times New Roman" w:eastAsia="Times New Roman"/>
          <w:b w:val="0"/>
          <w:i/>
          <w:sz w:val="26"/>
        </w:rPr>
        <w:t>admin@kitehub.me</w:t>
      </w:r>
      <w:r>
        <w:rPr>
          <w:rFonts w:ascii="Times New Roman" w:hAnsi="Times New Roman" w:eastAsia="Times New Roman"/>
          <w:b w:val="0"/>
          <w:i w:val="0"/>
          <w:sz w:val="26"/>
        </w:rPr>
        <w:t>), Loại hành động (</w:t>
      </w:r>
      <w:r>
        <w:rPr>
          <w:rFonts w:ascii="Times New Roman" w:hAnsi="Times New Roman" w:eastAsia="Times New Roman"/>
          <w:b w:val="0"/>
          <w:i/>
          <w:sz w:val="26"/>
        </w:rPr>
        <w:t>APPROVE_TENANT_REQUEST</w:t>
      </w:r>
      <w:r>
        <w:rPr>
          <w:rFonts w:ascii="Times New Roman" w:hAnsi="Times New Roman" w:eastAsia="Times New Roman"/>
          <w:b w:val="0"/>
          <w:i w:val="0"/>
          <w:sz w:val="26"/>
        </w:rPr>
        <w:t xml:space="preserve">, </w:t>
      </w:r>
      <w:r>
        <w:rPr>
          <w:rFonts w:ascii="Times New Roman" w:hAnsi="Times New Roman" w:eastAsia="Times New Roman"/>
          <w:b w:val="0"/>
          <w:i/>
          <w:sz w:val="26"/>
        </w:rPr>
        <w:t>TENANT_SUSPEND</w:t>
      </w:r>
      <w:r>
        <w:rPr>
          <w:rFonts w:ascii="Times New Roman" w:hAnsi="Times New Roman" w:eastAsia="Times New Roman"/>
          <w:b w:val="0"/>
          <w:i w:val="0"/>
          <w:sz w:val="26"/>
        </w:rPr>
        <w:t xml:space="preserve">, </w:t>
      </w:r>
      <w:r>
        <w:rPr>
          <w:rFonts w:ascii="Times New Roman" w:hAnsi="Times New Roman" w:eastAsia="Times New Roman"/>
          <w:b w:val="0"/>
          <w:i/>
          <w:sz w:val="26"/>
        </w:rPr>
        <w:t>EMAIL_TEMPLATE_UPDATE</w:t>
      </w:r>
      <w:r>
        <w:rPr>
          <w:rFonts w:ascii="Times New Roman" w:hAnsi="Times New Roman" w:eastAsia="Times New Roman"/>
          <w:b w:val="0"/>
          <w:i w:val="0"/>
          <w:sz w:val="26"/>
        </w:rPr>
        <w:t xml:space="preserve">), Đối tượng tác động (Tenant </w:t>
      </w:r>
      <w:r>
        <w:rPr>
          <w:rFonts w:ascii="Times New Roman" w:hAnsi="Times New Roman" w:eastAsia="Times New Roman"/>
          <w:b w:val="0"/>
          <w:i/>
          <w:sz w:val="26"/>
        </w:rPr>
        <w:t>Sky Education</w:t>
      </w:r>
      <w:r>
        <w:rPr>
          <w:rFonts w:ascii="Times New Roman" w:hAnsi="Times New Roman" w:eastAsia="Times New Roman"/>
          <w:b w:val="0"/>
          <w:i w:val="0"/>
          <w:sz w:val="26"/>
        </w:rPr>
        <w:t xml:space="preserve"> hoặc Yêu cầu mở tenant </w:t>
      </w:r>
      <w:r>
        <w:rPr>
          <w:rFonts w:ascii="Times New Roman" w:hAnsi="Times New Roman" w:eastAsia="Times New Roman"/>
          <w:b w:val="0"/>
          <w:i/>
          <w:sz w:val="26"/>
        </w:rPr>
        <w:t>req_uuid</w:t>
      </w:r>
      <w:r>
        <w:rPr>
          <w:rFonts w:ascii="Times New Roman" w:hAnsi="Times New Roman" w:eastAsia="Times New Roman"/>
          <w:b w:val="0"/>
          <w:i w:val="0"/>
          <w:sz w:val="26"/>
        </w:rPr>
        <w:t>), IP address rút gọn an toàn và Chi tiết JSON expandable; filter combo cho phép tìm theo loại hành động, admin user và khoảng thời gian, top banner notify compliance "Trang này được bảo vệ bởi PDPL Article 11 — mọi hành động admin được lưu vĩnh viễn và không thể chỉnh sửa", retention 5 năm theo PDPL Art 11.2 và hỗ trợ export CSV/PDF cho compliance audit định kỳ hằng quý.</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Tám giao diện được nhóm thành ba luồng nghiệp vụ trên đại diện cho happy path của hai persona target P1 và P2 trong giai đoạn thử nghiệm. Các giao diện sau chưa được trình bày trong phiên bản này do thuộc scope giai đoạn tiếp theo hoặc do giới hạn không gian báo cáo: giao diện admin xử lý chargeback (giai đoạn thương mại hóa khi tích hợp payment gateway), giao diện parent portal (giai đoạn vận hành chính thức — P4 persona), giao diện mobile app native (sau giai đoạn thương mại hóa — chưa triển khai), và giao diện K-12 transcript management (giai đoạn vận hành chính thức — P5 persona).</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Test pyramid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4424939" cy="7920000"/>
            <wp:docPr id="23" name="Picture 23"/>
            <wp:cNvGraphicFramePr>
              <a:graphicFrameLocks noChangeAspect="1"/>
            </wp:cNvGraphicFramePr>
            <a:graphic>
              <a:graphicData uri="http://schemas.openxmlformats.org/drawingml/2006/picture">
                <pic:pic>
                  <pic:nvPicPr>
                    <pic:cNvPr id="0" name="mermaid-f91993f073a5141c.png"/>
                    <pic:cNvPicPr/>
                  </pic:nvPicPr>
                  <pic:blipFill>
                    <a:blip r:embed="rId31"/>
                    <a:stretch>
                      <a:fillRect/>
                    </a:stretch>
                  </pic:blipFill>
                  <pic:spPr>
                    <a:xfrm>
                      <a:off x="0" y="0"/>
                      <a:ext cx="4424939" cy="792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(giai đoạn thương mại hóa),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giai đoạn vận hành chính thức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E2E test cho luồng AI Branding image generation pipeline thấp do dependency Stable Diffusion XL khó mock. Các hạn chế này được track riêng và schedule cho giai đoạn thương mại hóa hoặc giai đoạn vận hành chính thức tùy mức ưu tiên.</w:t>
      </w:r>
    </w:p>
    <w:p>
      <w:r>
        <w:br w:type="page"/>
      </w:r>
    </w:p>
    <w:p>
      <w:pPr>
        <w:pStyle w:val="Heading1"/>
        <w:jc w:val="center"/>
      </w:pPr>
      <w:r>
        <w:rPr>
          <w:rFonts w:ascii="Times New Roman" w:hAnsi="Times New Roman" w:eastAsia="Times New Roman"/>
          <w:b/>
          <w:color w:val="000000"/>
          <w:sz w:val="36"/>
        </w:rPr>
        <w:t>CHƯƠNG 4. ĐÁNH GIÁ KẾT QUẢ VÀ KẾT LUẬN</w:t>
      </w:r>
    </w:p>
    <w:p>
      <w:pPr>
        <w:pStyle w:val="Heading2"/>
      </w:pPr>
      <w:r>
        <w:rPr>
          <w:rFonts w:ascii="Times New Roman" w:hAnsi="Times New Roman" w:eastAsia="Times New Roman"/>
          <w:b/>
          <w:color w:val="000000"/>
          <w:sz w:val="32"/>
        </w:rPr>
        <w:t>4.1 Cloud Deployment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Giai đoạn thử nghiệm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giai đoạn vận hành chính thức. Người dùng thử nghiệm ký explicit consent acknowledging "infrastructure provider AWS Singapore" trong giai đoạn thử nghiệm.</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5760000" cy="5993370"/>
            <wp:docPr id="24" name="Picture 24"/>
            <wp:cNvGraphicFramePr>
              <a:graphicFrameLocks noChangeAspect="1"/>
            </wp:cNvGraphicFramePr>
            <a:graphic>
              <a:graphicData uri="http://schemas.openxmlformats.org/drawingml/2006/picture">
                <pic:pic>
                  <pic:nvPicPr>
                    <pic:cNvPr id="0" name="mermaid-f21dd78d7a1e3f4c.png"/>
                    <pic:cNvPicPr/>
                  </pic:nvPicPr>
                  <pic:blipFill>
                    <a:blip r:embed="rId32"/>
                    <a:stretch>
                      <a:fillRect/>
                    </a:stretch>
                  </pic:blipFill>
                  <pic:spPr>
                    <a:xfrm>
                      <a:off x="0" y="0"/>
                      <a:ext cx="5760000" cy="599337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4.1</w:t>
      </w:r>
      <w:r>
        <w:rPr>
          <w:rFonts w:ascii="Times New Roman" w:hAnsi="Times New Roman" w:eastAsia="Times New Roman"/>
          <w:sz w:val="26"/>
        </w:rPr>
        <w:t>. Sơ đồ kiến trúc tổng thể KiteHub Platform trên AWS Singapore (giai đoạn thử nghiệm)</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§2.3.2)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§2.3.4).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CI/CD Pipeline</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457015"/>
            <wp:docPr id="25" name="Picture 25"/>
            <wp:cNvGraphicFramePr>
              <a:graphicFrameLocks noChangeAspect="1"/>
            </wp:cNvGraphicFramePr>
            <a:graphic>
              <a:graphicData uri="http://schemas.openxmlformats.org/drawingml/2006/picture">
                <pic:pic>
                  <pic:nvPicPr>
                    <pic:cNvPr id="0" name="mermaid-f8d8b85df02b0042.png"/>
                    <pic:cNvPicPr/>
                  </pic:nvPicPr>
                  <pic:blipFill>
                    <a:blip r:embed="rId33"/>
                    <a:stretch>
                      <a:fillRect/>
                    </a:stretch>
                  </pic:blipFill>
                  <pic:spPr>
                    <a:xfrm>
                      <a:off x="0" y="0"/>
                      <a:ext cx="5760000" cy="245701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4.2</w:t>
      </w:r>
      <w:r>
        <w:rPr>
          <w:rFonts w:ascii="Times New Roman" w:hAnsi="Times New Roman" w:eastAsia="Times New Roman"/>
          <w:sz w:val="26"/>
        </w:rPr>
        <w:t>. Sequence diagram CI/CD pipeline từ git push tới production deploy (rút gọn các bước chính)</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ephemeral OIDC role (mỗi workflow run assume role mới với token 1 giờ, không hardcode AWS access key trong GitHub Secrets); narrow IAM scope (role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permission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EC2 tag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scope rộng hơn); confirm-input gate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verbatim để trigger, phòng ngừa deploy nhầm); và smoke admin-login post-deploy (sau deploy, smoke test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seeded admin credential, kỳ vọng 200 + JWT — bắt được lỗi class binding Postgres-specific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Trạng thái triển khai</w:t>
      </w:r>
    </w:p>
    <w:p>
      <w:pPr>
        <w:spacing w:line="288" w:lineRule="auto"/>
        <w:ind w:firstLine="567"/>
        <w:jc w:val="both"/>
      </w:pPr>
      <w:r>
        <w:rPr>
          <w:rFonts w:ascii="Times New Roman" w:hAnsi="Times New Roman" w:eastAsia="Times New Roman"/>
          <w:b w:val="0"/>
          <w:i w:val="0"/>
          <w:sz w:val="26"/>
        </w:rPr>
        <w:t>Tính đến thời điểm thực hiện đồ án: 71 resources terraform đã apply (CloudTrail captured); hai EC2 instance + RDS PostgreSQL multi-tenant schema RLS đã chạy; Cloudflare DNS đã cutover (kitehub.me thì ALB); AWS SES production mode đã được approve; CI/CD pipeline OIDC + ECR + SSM hoạt động đầy đủ; beta tenant invite mechanism đã sẵn sàng nhận yêu cầu.</w:t>
      </w:r>
    </w:p>
    <w:p>
      <w:pPr>
        <w:pStyle w:val="Heading2"/>
      </w:pPr>
      <w:r>
        <w:rPr>
          <w:rFonts w:ascii="Times New Roman" w:hAnsi="Times New Roman" w:eastAsia="Times New Roman"/>
          <w:b/>
          <w:color w:val="000000"/>
          <w:sz w:val="32"/>
        </w:rPr>
        <w:t>4.2 Kết quả tương tác end-user + minh chứng</w:t>
      </w:r>
    </w:p>
    <w:p>
      <w:pPr>
        <w:spacing w:line="288" w:lineRule="auto"/>
        <w:ind w:firstLine="567"/>
        <w:jc w:val="both"/>
      </w:pPr>
      <w:r>
        <w:rPr>
          <w:rFonts w:ascii="Times New Roman" w:hAnsi="Times New Roman" w:eastAsia="Times New Roman"/>
          <w:b w:val="0"/>
          <w:i w:val="0"/>
          <w:sz w:val="26"/>
        </w:rPr>
        <w:t>[Placeholder — phần này sẽ điền sau khi thu thập feedback từ beta tenants trong giai đoạn launch invite (từ 2026-05-19 trở đi). Nội dung dự kiến:</w:t>
      </w:r>
    </w:p>
    <w:p>
      <w:pPr>
        <w:pStyle w:val="ListBullet"/>
        <w:spacing w:line="288" w:lineRule="auto"/>
        <w:ind w:left="850" w:hanging="283"/>
      </w:pPr>
      <w:r>
        <w:rPr>
          <w:rFonts w:ascii="Times New Roman" w:hAnsi="Times New Roman" w:eastAsia="Times New Roman"/>
          <w:b w:val="0"/>
          <w:i w:val="0"/>
          <w:sz w:val="26"/>
        </w:rPr>
        <w:t>Tổng kết các thao tác key đã được end-user thực hiện thành công (đăng ký tenant, cấu hình AI branding, quản lý lớp học, phát hành hóa đơn, theo dõi audit log).</w:t>
      </w:r>
    </w:p>
    <w:p>
      <w:pPr>
        <w:pStyle w:val="ListBullet"/>
        <w:spacing w:line="288" w:lineRule="auto"/>
        <w:ind w:left="850" w:hanging="283"/>
      </w:pPr>
      <w:r>
        <w:rPr>
          <w:rFonts w:ascii="Times New Roman" w:hAnsi="Times New Roman" w:eastAsia="Times New Roman"/>
          <w:b w:val="0"/>
          <w:i w:val="0"/>
          <w:sz w:val="26"/>
        </w:rPr>
        <w:t>Trích dẫn feedback xác nhận từ chủ trung tâm và quản lý trung tâm về độ phù hợp của hệ thống với quy trình vận hành hiện tại.</w:t>
      </w:r>
    </w:p>
    <w:p>
      <w:pPr>
        <w:pStyle w:val="ListBullet"/>
        <w:spacing w:line="288" w:lineRule="auto"/>
        <w:ind w:left="850" w:hanging="283"/>
      </w:pPr>
      <w:r>
        <w:rPr>
          <w:rFonts w:ascii="Times New Roman" w:hAnsi="Times New Roman" w:eastAsia="Times New Roman"/>
          <w:b w:val="0"/>
          <w:i w:val="0"/>
          <w:sz w:val="26"/>
        </w:rPr>
        <w:t>Số liệu sử dụng thực tế (active users, AI branding generations, payment processed) trong cửa sổ 2-4 tuần đầu sau khi mời beta.</w:t>
      </w:r>
    </w:p>
    <w:p>
      <w:pPr>
        <w:pStyle w:val="ListBullet"/>
        <w:spacing w:line="288" w:lineRule="auto"/>
        <w:ind w:left="850" w:hanging="283"/>
      </w:pPr>
      <w:r>
        <w:rPr>
          <w:rFonts w:ascii="Times New Roman" w:hAnsi="Times New Roman" w:eastAsia="Times New Roman"/>
          <w:b w:val="0"/>
          <w:i w:val="0"/>
          <w:sz w:val="26"/>
        </w:rPr>
        <w:t>Screenshot minh chứng các luồng nghiệp vụ then chốt đã được tenant ký xác nhận đạt yêu cầu.</w:t>
      </w:r>
    </w:p>
    <w:p>
      <w:pPr>
        <w:spacing w:line="288" w:lineRule="auto"/>
        <w:ind w:firstLine="567"/>
        <w:jc w:val="both"/>
      </w:pPr>
      <w:r>
        <w:rPr>
          <w:rFonts w:ascii="Times New Roman" w:hAnsi="Times New Roman" w:eastAsia="Times New Roman"/>
          <w:b w:val="0"/>
          <w:i w:val="0"/>
          <w:sz w:val="26"/>
        </w:rPr>
        <w:t>Pre-defense: hoàn thiện sau khi đạt ≥3 beta tenants ký xác nhận hoặc cho đến trước cửa sổ bảo vệ 2026-08-15.]</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giai đoạn thử nghiệm tenant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giai đoạn thử nghiệm tenant chỉ phục vụ 3 persona tenant (Solo Teacher, Center Owner, Center Manager); persona K-12 Parent + Student được hoãn sang giai đoạn K-12 expansion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thực tế do beta cohort 7-10 tenant đang trong giai đoạn triển khai 9 tuần.</w:t>
      </w:r>
    </w:p>
    <w:p>
      <w:pPr>
        <w:pStyle w:val="ListBullet"/>
        <w:spacing w:line="288" w:lineRule="auto"/>
        <w:ind w:left="850" w:hanging="283"/>
      </w:pPr>
      <w:r>
        <w:rPr>
          <w:rFonts w:ascii="Times New Roman" w:hAnsi="Times New Roman" w:eastAsia="Times New Roman"/>
          <w:b w:val="0"/>
          <w:i w:val="0"/>
          <w:sz w:val="26"/>
        </w:rPr>
        <w:t>AI Branding mới được tích hợp ở mức MVP với 1 nhà cung cấp (Replicate Stable Diffusion XL); các phương án multi-vendor failover sẽ được triển khai trong giai đoạn production.</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Giai đoạn trả phí (paid tier): tích hợp thanh toán (VNPay, MoMo), partnership MISA MeInvoice cho hóa đơn điện tử theo Thông tư 78/2021/TT-BTC, mở rộng tenant cohort beta lên 30-50 trung tâm.</w:t>
      </w:r>
    </w:p>
    <w:p>
      <w:pPr>
        <w:pStyle w:val="ListBullet"/>
        <w:spacing w:line="288" w:lineRule="auto"/>
        <w:ind w:left="850" w:hanging="283"/>
      </w:pPr>
      <w:r>
        <w:rPr>
          <w:rFonts w:ascii="Times New Roman" w:hAnsi="Times New Roman" w:eastAsia="Times New Roman"/>
          <w:b w:val="0"/>
          <w:i w:val="0"/>
          <w:sz w:val="26"/>
        </w:rPr>
        <w:t>Giai đoạn vận hành chính thức: kiến trúc đa-region (Singapore + Hà Nội data localization Việt Nam theo Nghị định 53/2022), AI Quality Gate phiên bản nâng cao với multi-vendor failover, mobile app native iOS + Android.</w:t>
      </w:r>
    </w:p>
    <w:p>
      <w:pPr>
        <w:pStyle w:val="ListBullet"/>
        <w:spacing w:line="288" w:lineRule="auto"/>
        <w:ind w:left="850" w:hanging="283"/>
      </w:pPr>
      <w:r>
        <w:rPr>
          <w:rFonts w:ascii="Times New Roman" w:hAnsi="Times New Roman" w:eastAsia="Times New Roman"/>
          <w:b w:val="0"/>
          <w:i w:val="0"/>
          <w:sz w:val="26"/>
        </w:rPr>
        <w:t>Giai đoạn mở rộng K-12: mở rộng sang persona trường công lập với DPO chính thức + DPIA cho dữ liệu trẻ em theo Luật Bảo vệ Dữ liệu Cá nhân Điều 26.</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[33] </w:t>
      </w:r>
      <w:r>
        <w:rPr>
          <w:rFonts w:ascii="Times New Roman" w:hAnsi="Times New Roman" w:eastAsia="Times New Roman"/>
          <w:b w:val="0"/>
          <w:i w:val="0"/>
          <w:sz w:val="26"/>
        </w:rPr>
        <w:t xml:space="preserve">Replicate Inc., "Stable Diffusion XL API Documentation," 2024. [Online]. Available: </w:t>
      </w:r>
      <w:r>
        <w:rPr>
          <w:rFonts w:ascii="Times New Roman" w:hAnsi="Times New Roman" w:eastAsia="Times New Roman"/>
          <w:b w:val="0"/>
          <w:i w:val="0"/>
          <w:color w:val="0000FF"/>
          <w:sz w:val="26"/>
          <w:u w:val="single"/>
        </w:rPr>
        <w:t>https://replicate.com/stability-ai/sdxl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sectPr w:rsidR="00FC693F" w:rsidRPr="0006063C" w:rsidSect="00034616">
      <w:headerReference w:type="default" r:id="rId37"/>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header" Target="header1.xml"/><Relationship Id="rId35" Type="http://schemas.openxmlformats.org/officeDocument/2006/relationships/header" Target="header2.xml"/><Relationship Id="rId36" Type="http://schemas.openxmlformats.org/officeDocument/2006/relationships/header" Target="header3.xml"/><Relationship Id="rId3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