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1"/>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2"/>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Lean</w:t>
            </w:r>
          </w:p>
        </w:tc>
        <w:tc>
          <w:tcPr>
            <w:tcW w:type="dxa" w:w="7087"/>
          </w:tcPr>
          <w:p>
            <w:r>
              <w:rPr>
                <w:rFonts w:ascii="Times New Roman" w:hAnsi="Times New Roman" w:eastAsia="Times New Roman"/>
                <w:b w:val="0"/>
                <w:i w:val="0"/>
                <w:sz w:val="24"/>
              </w:rPr>
              <w:t>Lean Software Development — phát triển phần mềm tinh gọn (Poppendieck)</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SDXL</w:t>
            </w:r>
          </w:p>
        </w:tc>
        <w:tc>
          <w:tcPr>
            <w:tcW w:type="dxa" w:w="7087"/>
          </w:tcPr>
          <w:p>
            <w:r>
              <w:rPr>
                <w:rFonts w:ascii="Times New Roman" w:hAnsi="Times New Roman" w:eastAsia="Times New Roman"/>
                <w:b w:val="0"/>
                <w:i w:val="0"/>
                <w:sz w:val="24"/>
              </w:rPr>
              <w:t>Stable Diffusion XL — mô hình sinh ảnh từ văn bản</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33"/>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để duy trì chất lượng mã nguồn và tài liệu trong suốt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phục vụ nhóm trung tâm giáo dục thương mại tại Việt Nam (Hà Nội, TP. Hồ Chí Minh và các tỉnh lân cận). Về thời gian, phạm vi triển khai kéo dài từ tháng 5/2026 đến hết giai đoạn thử nghiệm tenant (~tháng 9/2026), với hai giáo viên độc lập (một dùng gói miễn phí, một dùng gói premium)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được hoãn sang giai đoạn mở rộng K-12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phát triển hướng kiểm thử (TDD — Test-Driven Development, per Beck 2002), thiết kế hướng miền (DDD — Domain-Driven Design, per Evans 2003), chu trình Plan-Do-Check-Act (PDCA, per Deming 1986) và tư duy tinh gọn (Lean, per Poppendieck 2003) — mỗi vấn đề phát hiện được chuyển hóa thành quy tắc kiểm soát kèm cơ chế kiểm tra tự động, tích hợp ngay trong quy trình phát triển.</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 Application Programming Interface — Contract, Business Logic, Ops Readiness) chấm điểm /100 hoặc /128 định kỳ sau mỗi giai đoạn phát triển.</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(mô hình mô tả kiến trúc phần mềm bốn cấp Context-Container-Component-Code), kết hợp Use Case + Class + ERD (Entity-Relationship Diagram — sơ đồ thực thể-quan hệ)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truyền ngữ cảnh qua JWT — JSON Web Token, kiến trúc REST — Representational State Transfer — 3 tầng) được kiểm chứng qua unit test, integration test và E2E test. Thứ tư, đồ án trình bày kết quả triển khai thực tế trong giai đoạn thử nghiệm tenant kèm các KPI (Key Performance Indicator — chỉ số hiệu suất chính)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Giai đoạn thử nghiệm hỗ trợ email; tích hợp Zalo OA cho phụ huynh là lộ trình giai đoạn vận hành chính thức.</w:t>
      </w:r>
    </w:p>
    <w:p>
      <w:pPr>
        <w:pStyle w:val="Heading3"/>
      </w:pPr>
      <w:r>
        <w:rPr>
          <w:rFonts w:ascii="Times New Roman" w:hAnsi="Times New Roman" w:eastAsia="Times New Roman"/>
          <w:b/>
          <w:color w:val="000000"/>
          <w:sz w:val="28"/>
        </w:rPr>
        <w:t>1.1.2 Phân tích nhóm người dùng đại diện giai đoạn thử nghiệm</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trong giai đoạn thử nghiệm và nhóm Zalo cho cập nhật thường xuyên ở giai đoạn vận hành chính thức;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quản lý trung tâm hiện có trên thị trường, và nhu cầu thực tế từ các nhóm người dùng cuối. Phần khảo sát các hệ thống tham khảo dưới đây phân tích bốn sản phẩm tiêu biểu trong phân khúc trung tâm giáo dục tư nhân — BeeClass, Mona eLMS, Easy Edu và DotB — theo các tiêu chí phân khúc mục tiêu, mức giá, kiến trúc, khả năng tích hợp AI và mức tuân thủ pháp luật Việt Nam.</w:t>
      </w:r>
    </w:p>
    <w:p>
      <w:pPr>
        <w:pStyle w:val="Heading3"/>
      </w:pPr>
      <w:r>
        <w:rPr>
          <w:rFonts w:ascii="Times New Roman" w:hAnsi="Times New Roman" w:eastAsia="Times New Roman"/>
          <w:b/>
          <w:color w:val="000000"/>
          <w:sz w:val="28"/>
        </w:rPr>
        <w:t>1.2.1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sở hữu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quy trình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đơn tenant (single-tenant) — mỗi khách hàng có một thực thể cơ sở dữ liệu riêng, khó mở rộng khi trung tâm mở chi nhánh thứ năm trở lên; chưa có tính năng tự sinh tài nguyên thương hiệu bằng AI; quy trình khởi tạo yêu cầu liên hệ bộ phận kinh doanh chứ chưa hoàn toàn tự phục vụ; mức giá tuy phải chăng hơn các sản phẩm hướng doanh nghiệp nhưng vẫn cao hơn mức 500.000đ/tháng mà phân khúc trung tâm tự phát nhỏ kỳ vọng.</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người dùng cuối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tổng hợp so sánh bốn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Trung tâm tiếng Anh</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1-3 triệu</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Phiên bản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Tích hợp Zalo ZNS</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Cổng thanh toán built-in</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thực thể cơ sở dữ liệu riêng. Khi trung tâm mở rộng lên năm chi nhánh trở lên, chủ sở hữu trung tâm phải cấp phát thêm thực thể, đồng bộ dữ liệu thủ công và sao chép cấu hình. Hệ thống đề xuất sử dụng kiến trúc đa tenant nguyên bản với cô lập ở mức cơ sở dữ liệu (mỗi tenant một schema riêng), cho phép một trung tâm có 100 chi nhánh trên cùng một thực thể,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gốc và tích hợp Zalo ZNS sang các phiên bản sau có rủi ro mất khách so với Mona eLMS và Easy Edu vốn đã có ứng dụng gốc — giải pháp giảm thiểu là giao diện web đáp ứng kết hợp nhóm Zalo trong phiên bản đầu, ưu tiên ứng dụng gốc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Easy Edu và Mona eLMS có nhiều năm hiện diện thị trường trong khi hệ thống đề xuất mới ra mắt — giải pháp giảm thiểu là tiếp cận tăng trưởng dẫn dắt bởi sản phẩm, tiếp thị nội dung tiếng Việt và chương trình người dùng tiên phong với các trung tâm thử nghiệm.</w:t>
      </w:r>
    </w:p>
    <w:p>
      <w:pPr>
        <w:pStyle w:val="Heading3"/>
      </w:pPr>
      <w:r>
        <w:rPr>
          <w:rFonts w:ascii="Times New Roman" w:hAnsi="Times New Roman" w:eastAsia="Times New Roman"/>
          <w:b/>
          <w:color w:val="000000"/>
          <w:sz w:val="28"/>
        </w:rPr>
        <w:t>1.3.3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hai giáo viên độc lập (một dùng gói miễn phí, một dùng gói trả phí), tập trung kiểm chứng trình hướng dẫn khởi tạo tenant, mô-đun AI Branding, kiến trúc đa tenant và ngưỡng tuân thủ pháp lý cơ bản; phạm vi triển khai trong giai đoạn này không thu phí và chấp nhận chính sách giảm thiểu chi phí hạ tầng. Giai đoạn thanh toán thử nghiệm mở rộng nhóm tenant thử nghiệm lên 30-50 trung tâm với chính sách thu phí giới thiệu thấp hơn giá niêm yết, mục đích chính là kiểm chứng mô hình giá, luồng khởi tạo chính thức và hệ thống thanh toán chuyển khoản kèm đối soát tự động; giai đoạn này tích hợp hóa đơn điện tử (eInvoice) qua hợp tác với nhà cung cấp được Tổng cục Thuế cấp phép. Giai đoạn vận hành chính thức mở cho mọi trung tâm tự đăng ký không qua quy trình mời, đi kèm thỏa thuận mức dịch vụ (SLA — Service Level Agreement) cam kết thời gian hoạt động ≥99,5% và bổ sung các kênh hỗ trợ (trò chuyện trực tuyến, kênh hỗ trợ Zalo OA), ứng dụng di động gốc cho học viên và phụ huynh, đa cổng thanh toán tích hợp. Giai đoạn mở rộng sang khối phổ thông K-12 phục vụ trường công lập và tư thục cấp 1-2 với yêu cầu bổ nhiệm cán bộ bảo vệ dữ liệu (DPO — Data Protection Officer) chính thức, đánh giá tác động bảo vệ dữ liệu (DPIA — Data Protection Impact Assessment) cho dữ liệu trẻ em theo Luật Bảo vệ Dữ liệu Cá nhân Điều 17 và Điều 26, hợp tác với Bộ Giáo dục và Đào tạo cùng các sở 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 bao gồm trình hướng dẫn khởi tạo cốt lõi, mô-đun AI Branding tự động, quản lý vòng đời tenant đầy đủ và tuân thủ pháp luật Việt Nam (PDPL, Luật An ninh mạng, ngưỡng hóa đơn điện tử). Các giai đoạn thanh toán thử nghiệm, vận hành chính thức và mở rộng sang khối K-12 được trình bày như lộ trình kỹ thuật nhưng không nằm trong phạm vi triển khai thực tế của đề tài. Việc tách giai đoạn này phù hợp với phương pháp luận sản phẩm tối giản khả thi (MVP — Minimum Viable Product) trong khởi nghiệp phần mềm — phát hành sản phẩm tối giản đáp ứng nhu cầu cốt lõi của nhóm người dùng đại diện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giai đoạn thử nghiệm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6" name="Picture 6"/>
            <wp:cNvGraphicFramePr>
              <a:graphicFrameLocks noChangeAspect="1"/>
            </wp:cNvGraphicFramePr>
            <a:graphic>
              <a:graphicData uri="http://schemas.openxmlformats.org/drawingml/2006/picture">
                <pic:pic>
                  <pic:nvPicPr>
                    <pic:cNvPr id="0" name="mermaid-f5a7d770a853ce87.png"/>
                    <pic:cNvPicPr/>
                  </pic:nvPicPr>
                  <pic:blipFill>
                    <a:blip r:embed="rId14"/>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pageBreakBefore/>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được xây dựng riêng</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pageBreakBefore/>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9" name="Picture 9"/>
            <wp:cNvGraphicFramePr>
              <a:graphicFrameLocks noChangeAspect="1"/>
            </wp:cNvGraphicFramePr>
            <a:graphic>
              <a:graphicData uri="http://schemas.openxmlformats.org/drawingml/2006/picture">
                <pic:pic>
                  <pic:nvPicPr>
                    <pic:cNvPr id="0" name="mermaid-937a5ae77a6cbd8c.png"/>
                    <pic:cNvPicPr/>
                  </pic:nvPicPr>
                  <pic:blipFill>
                    <a:blip r:embed="rId17"/>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0" name="Picture 10"/>
            <wp:cNvGraphicFramePr>
              <a:graphicFrameLocks noChangeAspect="1"/>
            </wp:cNvGraphicFramePr>
            <a:graphic>
              <a:graphicData uri="http://schemas.openxmlformats.org/drawingml/2006/picture">
                <pic:pic>
                  <pic:nvPicPr>
                    <pic:cNvPr id="0" name="mermaid-3352d2cdf91ac76b.png"/>
                    <pic:cNvPicPr/>
                  </pic:nvPicPr>
                  <pic:blipFill>
                    <a:blip r:embed="rId18"/>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line="288" w:lineRule="auto"/>
        <w:ind w:firstLine="567"/>
        <w:jc w:val="both"/>
      </w:pPr>
      <w:r>
        <w:rPr>
          <w:rFonts w:ascii="Times New Roman" w:hAnsi="Times New Roman" w:eastAsia="Times New Roman"/>
          <w:b w:val="0"/>
          <w:i w:val="0"/>
          <w:sz w:val="26"/>
        </w:rPr>
        <w:t>Hình 2.4c mô tả chuỗi định tuyến tổng thể từ trình duyệt đến dữ liệu landing của tenant.</w:t>
      </w:r>
    </w:p>
    <w:p>
      <w:pPr>
        <w:pageBreakBefore/>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p>
      <w:pPr>
        <w:spacing w:line="288" w:lineRule="auto"/>
        <w:ind w:firstLine="567"/>
        <w:jc w:val="both"/>
      </w:pPr>
      <w:r>
        <w:rPr>
          <w:rFonts w:ascii="Times New Roman" w:hAnsi="Times New Roman" w:eastAsia="Times New Roman"/>
          <w:b w:val="0"/>
          <w:i w:val="0"/>
          <w:sz w:val="26"/>
        </w:rPr>
        <w:t>Bảng 2.6 so sánh hai phương thức truy cập theo các tiêu chí cấp phát, DNS, chứng chỉ SSL và xác minh quyền sở hữu.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So sánh subdomain và tên miền riêng trong cơ chế định tuyến đa tenant</w:t>
      </w:r>
    </w:p>
    <w:p>
      <w:pPr>
        <w:spacing w:line="288" w:lineRule="auto"/>
        <w:ind w:firstLine="567"/>
        <w:jc w:val="both"/>
      </w:pPr>
      <w:r>
        <w:rPr>
          <w:rFonts w:ascii="Times New Roman" w:hAnsi="Times New Roman" w:eastAsia="Times New Roman"/>
          <w:b w:val="0"/>
          <w:i w:val="0"/>
          <w:sz w:val="26"/>
        </w:rPr>
        <w:t>Hình 2.4d trình bày tuần tự phân giải tenant theo subdomain, từ yêu cầu trình duyệt đến dữ liệu landing được lọc bởi RLS.</w:t>
      </w:r>
    </w:p>
    <w:p>
      <w:pPr>
        <w:spacing w:before="120" w:after="120"/>
        <w:jc w:val="center"/>
      </w:pPr>
      <w:r>
        <w:drawing>
          <wp:inline xmlns:a="http://schemas.openxmlformats.org/drawingml/2006/main" xmlns:pic="http://schemas.openxmlformats.org/drawingml/2006/picture">
            <wp:extent cx="5760000" cy="2264898"/>
            <wp:docPr id="12" name="Picture 12"/>
            <wp:cNvGraphicFramePr>
              <a:graphicFrameLocks noChangeAspect="1"/>
            </wp:cNvGraphicFramePr>
            <a:graphic>
              <a:graphicData uri="http://schemas.openxmlformats.org/drawingml/2006/picture">
                <pic:pic>
                  <pic:nvPicPr>
                    <pic:cNvPr id="0" name="mermaid-7dabbf6c19ae66fe.png"/>
                    <pic:cNvPicPr/>
                  </pic:nvPicPr>
                  <pic:blipFill>
                    <a:blip r:embed="rId20"/>
                    <a:stretch>
                      <a:fillRect/>
                    </a:stretch>
                  </pic:blipFill>
                  <pic:spPr>
                    <a:xfrm>
                      <a:off x="0" y="0"/>
                      <a:ext cx="5760000" cy="226489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pageBreakBefore/>
        <w:spacing w:before="120" w:after="120"/>
        <w:jc w:val="center"/>
      </w:pPr>
      <w:r>
        <w:drawing>
          <wp:inline xmlns:a="http://schemas.openxmlformats.org/drawingml/2006/main" xmlns:pic="http://schemas.openxmlformats.org/drawingml/2006/picture">
            <wp:extent cx="3492050" cy="6480000"/>
            <wp:docPr id="13" name="Picture 13"/>
            <wp:cNvGraphicFramePr>
              <a:graphicFrameLocks noChangeAspect="1"/>
            </wp:cNvGraphicFramePr>
            <a:graphic>
              <a:graphicData uri="http://schemas.openxmlformats.org/drawingml/2006/picture">
                <pic:pic>
                  <pic:nvPicPr>
                    <pic:cNvPr id="0" name="mermaid-cfe5ec891d00c4b9.png"/>
                    <pic:cNvPicPr/>
                  </pic:nvPicPr>
                  <pic:blipFill>
                    <a:blip r:embed="rId21"/>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4" name="Picture 14"/>
            <wp:cNvGraphicFramePr>
              <a:graphicFrameLocks noChangeAspect="1"/>
            </wp:cNvGraphicFramePr>
            <a:graphic>
              <a:graphicData uri="http://schemas.openxmlformats.org/drawingml/2006/picture">
                <pic:pic>
                  <pic:nvPicPr>
                    <pic:cNvPr id="0" name="mermaid-f005980df8c8a241.png"/>
                    <pic:cNvPicPr/>
                  </pic:nvPicPr>
                  <pic:blipFill>
                    <a:blip r:embed="rId22"/>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5" name="Picture 15"/>
            <wp:cNvGraphicFramePr>
              <a:graphicFrameLocks noChangeAspect="1"/>
            </wp:cNvGraphicFramePr>
            <a:graphic>
              <a:graphicData uri="http://schemas.openxmlformats.org/drawingml/2006/picture">
                <pic:pic>
                  <pic:nvPicPr>
                    <pic:cNvPr id="0" name="mermaid-c1c711fb26610c4d.png"/>
                    <pic:cNvPicPr/>
                  </pic:nvPicPr>
                  <pic:blipFill>
                    <a:blip r:embed="rId23"/>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6" name="Picture 16"/>
            <wp:cNvGraphicFramePr>
              <a:graphicFrameLocks noChangeAspect="1"/>
            </wp:cNvGraphicFramePr>
            <a:graphic>
              <a:graphicData uri="http://schemas.openxmlformats.org/drawingml/2006/picture">
                <pic:pic>
                  <pic:nvPicPr>
                    <pic:cNvPr id="0" name="mermaid-b7796a844892db44.png"/>
                    <pic:cNvPicPr/>
                  </pic:nvPicPr>
                  <pic:blipFill>
                    <a:blip r:embed="rId24"/>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pageBreakBefore/>
        <w:spacing w:before="120" w:after="120"/>
        <w:jc w:val="center"/>
      </w:pPr>
      <w:r>
        <w:drawing>
          <wp:inline xmlns:a="http://schemas.openxmlformats.org/drawingml/2006/main" xmlns:pic="http://schemas.openxmlformats.org/drawingml/2006/picture">
            <wp:extent cx="5188811" cy="6480000"/>
            <wp:docPr id="17" name="Picture 17"/>
            <wp:cNvGraphicFramePr>
              <a:graphicFrameLocks noChangeAspect="1"/>
            </wp:cNvGraphicFramePr>
            <a:graphic>
              <a:graphicData uri="http://schemas.openxmlformats.org/drawingml/2006/picture">
                <pic:pic>
                  <pic:nvPicPr>
                    <pic:cNvPr id="0" name="mermaid-3e2649c3cbb965e5.png"/>
                    <pic:cNvPicPr/>
                  </pic:nvPicPr>
                  <pic:blipFill>
                    <a:blip r:embed="rId25"/>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sở hữu trung tâm)</w:t>
      </w:r>
    </w:p>
    <w:p>
      <w:pPr>
        <w:spacing w:before="120" w:after="60"/>
        <w:jc w:val="center"/>
      </w:pPr>
      <w:r>
        <w:rPr>
          <w:rFonts w:ascii="Times New Roman" w:hAnsi="Times New Roman" w:eastAsia="Times New Roman"/>
          <w:b w:val="0"/>
          <w:i/>
          <w:color w:val="808080"/>
          <w:sz w:val="26"/>
        </w:rPr>
        <w:t>[Hình minh hoạ: 12-public-homepage-sky-branded.png — chưa có file]</w:t>
      </w:r>
    </w:p>
    <w:p>
      <w:pPr>
        <w:spacing w:before="120" w:after="60"/>
        <w:jc w:val="center"/>
      </w:pPr>
      <w:r>
        <w:rPr>
          <w:rFonts w:ascii="Times New Roman" w:hAnsi="Times New Roman" w:eastAsia="Times New Roman"/>
          <w:b w:val="0"/>
          <w:i/>
          <w:color w:val="808080"/>
          <w:sz w:val="26"/>
        </w:rPr>
        <w:t>[Hình minh hoạ: 01-login-page.png — chưa có file]</w:t>
      </w:r>
    </w:p>
    <w:p>
      <w:pPr>
        <w:spacing w:before="120" w:after="60"/>
        <w:jc w:val="center"/>
      </w:pPr>
      <w:r>
        <w:rPr>
          <w:rFonts w:ascii="Times New Roman" w:hAnsi="Times New Roman" w:eastAsia="Times New Roman"/>
          <w:b w:val="0"/>
          <w:i/>
          <w:color w:val="808080"/>
          <w:sz w:val="26"/>
        </w:rPr>
        <w:t>[Hình minh hoạ: 02-dashboard-overview-kpi-orange.png — chưa có file]</w:t>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sở hữu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Trong giai đoạn thử nghiệm,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rPr>
          <w:rFonts w:ascii="Times New Roman" w:hAnsi="Times New Roman" w:eastAsia="Times New Roman"/>
          <w:b w:val="0"/>
          <w:i/>
          <w:color w:val="808080"/>
          <w:sz w:val="26"/>
        </w:rPr>
        <w:t>[Hình minh hoạ: 03-branding-settings.png — chưa có file]</w:t>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rPr>
          <w:rFonts w:ascii="Times New Roman" w:hAnsi="Times New Roman" w:eastAsia="Times New Roman"/>
          <w:b w:val="0"/>
          <w:i/>
          <w:color w:val="808080"/>
          <w:sz w:val="26"/>
        </w:rPr>
        <w:t>[Hình minh hoạ: 05-students.png — chưa có file]</w:t>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Trong giai đoạn thử nghiệm,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trong giai đoạn thử nghiệm: trang chủ công khai mang thương hiệu riêng, tùy biến thương hiệu bằng AI, bảng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điểm cuối API tổng hợp số liệu) cùng các thống kê doanh thu. Các giao diện thuộc phạm vi giai đoạn tiếp theo gồm: cổng thông tin dành cho phụ huynh (nhóm người dùng đại diện P4), ứng dụng di động gốc (sau giai đoạn thương mại hóa), và quản lý học bạ K-12 (nhóm người dùng đại diện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pageBreakBefore/>
        <w:spacing w:before="120" w:after="120"/>
        <w:jc w:val="center"/>
      </w:pPr>
      <w:r>
        <w:drawing>
          <wp:inline xmlns:a="http://schemas.openxmlformats.org/drawingml/2006/main" xmlns:pic="http://schemas.openxmlformats.org/drawingml/2006/picture">
            <wp:extent cx="3620404" cy="6480000"/>
            <wp:docPr id="18" name="Picture 18"/>
            <wp:cNvGraphicFramePr>
              <a:graphicFrameLocks noChangeAspect="1"/>
            </wp:cNvGraphicFramePr>
            <a:graphic>
              <a:graphicData uri="http://schemas.openxmlformats.org/drawingml/2006/picture">
                <pic:pic>
                  <pic:nvPicPr>
                    <pic:cNvPr id="0" name="mermaid-f91993f073a5141c.png"/>
                    <pic:cNvPicPr/>
                  </pic:nvPicPr>
                  <pic:blipFill>
                    <a:blip r:embed="rId26"/>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pageBreakBefore/>
        <w:spacing w:before="120" w:after="120"/>
        <w:jc w:val="center"/>
      </w:pPr>
      <w:r>
        <w:drawing>
          <wp:inline xmlns:a="http://schemas.openxmlformats.org/drawingml/2006/main" xmlns:pic="http://schemas.openxmlformats.org/drawingml/2006/picture">
            <wp:extent cx="3265856" cy="6480000"/>
            <wp:docPr id="19" name="Picture 19"/>
            <wp:cNvGraphicFramePr>
              <a:graphicFrameLocks noChangeAspect="1"/>
            </wp:cNvGraphicFramePr>
            <a:graphic>
              <a:graphicData uri="http://schemas.openxmlformats.org/drawingml/2006/picture">
                <pic:pic>
                  <pic:nvPicPr>
                    <pic:cNvPr id="0" name="plantuml-294497237df6674e.png"/>
                    <pic:cNvPicPr/>
                  </pic:nvPicPr>
                  <pic:blipFill>
                    <a:blip r:embed="rId27"/>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pageBreakBefore/>
        <w:spacing w:before="120" w:after="120"/>
        <w:jc w:val="center"/>
      </w:pPr>
      <w:r>
        <w:drawing>
          <wp:inline xmlns:a="http://schemas.openxmlformats.org/drawingml/2006/main" xmlns:pic="http://schemas.openxmlformats.org/drawingml/2006/picture">
            <wp:extent cx="5760000" cy="5782721"/>
            <wp:docPr id="20" name="Picture 20"/>
            <wp:cNvGraphicFramePr>
              <a:graphicFrameLocks noChangeAspect="1"/>
            </wp:cNvGraphicFramePr>
            <a:graphic>
              <a:graphicData uri="http://schemas.openxmlformats.org/drawingml/2006/picture">
                <pic:pic>
                  <pic:nvPicPr>
                    <pic:cNvPr id="0" name="plantuml-e506096e358f22e1.png"/>
                    <pic:cNvPicPr/>
                  </pic:nvPicPr>
                  <pic:blipFill>
                    <a:blip r:embed="rId28"/>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ở giai đoạn thử nghiệm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1" name="Picture 21"/>
            <wp:cNvGraphicFramePr>
              <a:graphicFrameLocks noChangeAspect="1"/>
            </wp:cNvGraphicFramePr>
            <a:graphic>
              <a:graphicData uri="http://schemas.openxmlformats.org/drawingml/2006/picture">
                <pic:pic>
                  <pic:nvPicPr>
                    <pic:cNvPr id="0" name="mermaid-32cf937050deb6cc.png"/>
                    <pic:cNvPicPr/>
                  </pic:nvPicPr>
                  <pic:blipFill>
                    <a:blip r:embed="rId29"/>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2" name="Picture 22"/>
            <wp:cNvGraphicFramePr>
              <a:graphicFrameLocks noChangeAspect="1"/>
            </wp:cNvGraphicFramePr>
            <a:graphic>
              <a:graphicData uri="http://schemas.openxmlformats.org/drawingml/2006/picture">
                <pic:pic>
                  <pic:nvPicPr>
                    <pic:cNvPr id="0" name="mermaid-4d19df8175f80777.png"/>
                    <pic:cNvPicPr/>
                  </pic:nvPicPr>
                  <pic:blipFill>
                    <a:blip r:embed="rId30"/>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đường ống triển khai bao gồm: vai trò OIDC tạm thời (mỗi lần chạy workflow đảm nhận một vai trò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kiểm thử nhanh đăng nhập quản trị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liên kết kiểu đặc thù PostgreSQL mà kiểm thử đơn vị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p>
      <w:pPr>
        <w:spacing w:line="288" w:lineRule="auto"/>
        <w:ind w:firstLine="567"/>
        <w:jc w:val="both"/>
      </w:pPr>
      <w:r>
        <w:rPr>
          <w:rFonts w:ascii="Times New Roman" w:hAnsi="Times New Roman" w:eastAsia="Times New Roman"/>
          <w:b w:val="0"/>
          <w:i w:val="0"/>
          <w:sz w:val="26"/>
        </w:rPr>
        <w:t xml:space="preserve">Bảng 4.1 liệt kê các bản ghi DNS chính được cấu hình cho tên miền </w:t>
      </w:r>
      <w:r>
        <w:rPr>
          <w:rFonts w:ascii="Times New Roman" w:hAnsi="Times New Roman" w:eastAsia="Times New Roman"/>
          <w:b w:val="0"/>
          <w:i/>
          <w:sz w:val="26"/>
        </w:rPr>
        <w:t>kitehub.me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áp dụng (CloudTrail ghi nhận đầy đủ); hai thực thể EC2 và RDS PostgreSQL đa tenant với RLS đã chạy; Cloudflare DNS đã chuyển đổi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Sky Education với giao diện thương hiệu riêng (mục 4.2); AWS SES đã được phê duyệt chế độ sản xuất; đường ống CI/CD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người dùng cuối và minh chứng</w:t>
      </w:r>
    </w:p>
    <w:p>
      <w:pPr>
        <w:spacing w:line="288" w:lineRule="auto"/>
        <w:ind w:firstLine="567"/>
        <w:jc w:val="both"/>
      </w:pPr>
      <w:r>
        <w:rPr>
          <w:rFonts w:ascii="Times New Roman" w:hAnsi="Times New Roman" w:eastAsia="Times New Roman"/>
          <w:b w:val="0"/>
          <w:i w:val="0"/>
          <w:sz w:val="26"/>
        </w:rPr>
        <w:t>[Phần này sẽ điền sau khi thu thập phản hồi từ các tenant thử nghiệm trong giai đoạn mời chính thức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chính đã được người dùng cuối thực hiện thành công (đăng ký tenant, cấu hình AI Branding, quản lý lớp học, phát hành hóa đơn, theo dõi nhật ký kiểm toán).</w:t>
      </w:r>
    </w:p>
    <w:p>
      <w:pPr>
        <w:pStyle w:val="ListBullet"/>
        <w:spacing w:line="288" w:lineRule="auto"/>
        <w:ind w:left="850" w:hanging="283"/>
      </w:pPr>
      <w:r>
        <w:rPr>
          <w:rFonts w:ascii="Times New Roman" w:hAnsi="Times New Roman" w:eastAsia="Times New Roman"/>
          <w:b w:val="0"/>
          <w:i w:val="0"/>
          <w:sz w:val="26"/>
        </w:rPr>
        <w:t>Trích dẫn phản hồi xác nhận từ chủ sở hữu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(số người dùng hoạt động, số lần sinh AI Branding, số giao dịch thanh toán đã xử lý) trong cửa sổ 2-4 tuần đầu sau khi mời thử nghiệm.</w:t>
      </w:r>
    </w:p>
    <w:p>
      <w:pPr>
        <w:pStyle w:val="ListBullet"/>
        <w:spacing w:line="288" w:lineRule="auto"/>
        <w:ind w:left="850" w:hanging="283"/>
      </w:pPr>
      <w:r>
        <w:rPr>
          <w:rFonts w:ascii="Times New Roman" w:hAnsi="Times New Roman" w:eastAsia="Times New Roman"/>
          <w:b w:val="0"/>
          <w:i w:val="0"/>
          <w:sz w:val="26"/>
        </w:rPr>
        <w:t>Ảnh chụp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ba nhóm người dùng (giáo viên độc lập, chủ sở hữu trung tâm, quản lý trung tâm); nhóm phụ huynh và học viên thuộc phân khúc K-12 được hoãn sang giai đoạn mở rộng K-12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giai đoạn thử nghiệm mới có hai giáo viên độc lập (một gói miễn phí, một gói premium)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4"/>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header" Target="header1.xml"/><Relationship Id="rId32" Type="http://schemas.openxmlformats.org/officeDocument/2006/relationships/header" Target="header2.xml"/><Relationship Id="rId33" Type="http://schemas.openxmlformats.org/officeDocument/2006/relationships/header" Target="header3.xml"/><Relationship Id="rId3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