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chấm thang 1-5 trên 6 trục — độ mạnh cô lập, chi phí vận hành theo số tenant, khả năng truy vấn xuyên tenant, độ phù hợp phạm vi SMB hiện tại, vị thế tuân thủ (PDPL + ISO27001) và chi phí chuyển đổi từ hiện trạng — tổng tối đa 30. Rubric xây dựng riêng cho ngữ cảnh trung tâm dạy thêm SMB, tham khảo phương pháp luận Pool/Bridge/Silo của AWS Well-Architected SaaS Lens [26, tr.21] và pattern comparison của Pothon [27], với trọng số ưu tiên chi phí (ràng buộc Free Tier) và độ đơn giản vận hành (mô hình solo-dev).</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Pattern 4 (chọn — tổng 26/30):</w:t>
      </w:r>
      <w:r>
        <w:rPr>
          <w:rFonts w:ascii="Times New Roman" w:hAnsi="Times New Roman" w:eastAsia="Times New Roman"/>
          <w:b w:val="0"/>
          <w:i w:val="0"/>
          <w:sz w:val="26"/>
        </w:rPr>
        <w:t xml:space="preserve"> P4 đạt điểm tối đa ở ba trục quyết định với phạm vi hiện tại — chi phí vận hành O(1) (5đ: 1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+ 1 chuỗi Flyway migration cho mọi tenant), độ phù hợp phạm vi SMB (5đ: ≤$15/tháng cho ≤10 tenant đầu) và chi phí chuyển đổi thấp (5đ: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chỉ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Độ mạnh cô lập chỉ đạt 3đ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 NULL force-fail, chi tiết §2.2.4) chứ không phải vật lý như Per-DB — vai trò siêu người dùng vẫn BYPASS được, nên cần thêm 4 lớp phòng thủ chiều sâu (§2.2.4). Hai trục còn lại đạt 4đ: khả năng truy vấn xuyên tenant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BYPASSRLS phục vụ report toàn nền tảng) và vị thế tuân thủ (cô lập logic mạnh + audit trail PDPL Art 11) — chưa đạt 5đ do là cô lập logic, không vật lý.</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hiển thị dòng tóm tắt "Hiện có 30 học viên · 1 khóa học" cùng sáu thẻ chỉ số (Học viên, Khóa học, Lớp học, Điểm danh hôm nay, Doanh thu tuần, Tỷ lệ giữ chân). Hiện tại, hai thẻ Học viên và Khóa học đã hiển thị số liệu thực (30 và 1),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