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1"/>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2"/>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AI</w:t>
            </w:r>
          </w:p>
        </w:tc>
        <w:tc>
          <w:tcPr>
            <w:tcW w:type="dxa" w:w="7087"/>
          </w:tcPr>
          <w:p>
            <w:r>
              <w:rPr>
                <w:rFonts w:ascii="Times New Roman" w:hAnsi="Times New Roman" w:eastAsia="Times New Roman"/>
                <w:b w:val="0"/>
                <w:i w:val="0"/>
                <w:sz w:val="24"/>
              </w:rPr>
              <w:t>Artificial Intelligence — trí tuệ nhân tạo</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 — giao diện lập trình ứng dụng</w:t>
            </w:r>
          </w:p>
        </w:tc>
      </w:tr>
      <w:tr>
        <w:tc>
          <w:tcPr>
            <w:tcW w:type="dxa" w:w="1984"/>
          </w:tcPr>
          <w:p>
            <w:r>
              <w:rPr>
                <w:rFonts w:ascii="Times New Roman" w:hAnsi="Times New Roman" w:eastAsia="Times New Roman"/>
                <w:b/>
                <w:i w:val="0"/>
                <w:sz w:val="24"/>
              </w:rPr>
              <w:t>C4</w:t>
            </w:r>
          </w:p>
        </w:tc>
        <w:tc>
          <w:tcPr>
            <w:tcW w:type="dxa" w:w="7087"/>
          </w:tcPr>
          <w:p>
            <w:r>
              <w:rPr>
                <w:rFonts w:ascii="Times New Roman" w:hAnsi="Times New Roman" w:eastAsia="Times New Roman"/>
                <w:b w:val="0"/>
                <w:i w:val="0"/>
                <w:sz w:val="24"/>
              </w:rPr>
              <w:t>Mô hình mô tả kiến trúc phần mềm 4 cấp: Context, Container, Component, Code</w:t>
            </w:r>
          </w:p>
        </w:tc>
      </w:tr>
      <w:tr>
        <w:tc>
          <w:tcPr>
            <w:tcW w:type="dxa" w:w="1984"/>
          </w:tcPr>
          <w:p>
            <w:r>
              <w:rPr>
                <w:rFonts w:ascii="Times New Roman" w:hAnsi="Times New Roman" w:eastAsia="Times New Roman"/>
                <w:b/>
                <w:i w:val="0"/>
                <w:sz w:val="24"/>
              </w:rPr>
              <w:t>CDN</w:t>
            </w:r>
          </w:p>
        </w:tc>
        <w:tc>
          <w:tcPr>
            <w:tcW w:type="dxa" w:w="7087"/>
          </w:tcPr>
          <w:p>
            <w:r>
              <w:rPr>
                <w:rFonts w:ascii="Times New Roman" w:hAnsi="Times New Roman" w:eastAsia="Times New Roman"/>
                <w:b w:val="0"/>
                <w:i w:val="0"/>
                <w:sz w:val="24"/>
              </w:rPr>
              <w:t>Content Delivery Network — mạng phân phối nội dung</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 — tích hợp / triển khai liên tục</w:t>
            </w:r>
          </w:p>
        </w:tc>
      </w:tr>
      <w:tr>
        <w:tc>
          <w:tcPr>
            <w:tcW w:type="dxa" w:w="1984"/>
          </w:tcPr>
          <w:p>
            <w:r>
              <w:rPr>
                <w:rFonts w:ascii="Times New Roman" w:hAnsi="Times New Roman" w:eastAsia="Times New Roman"/>
                <w:b/>
                <w:i w:val="0"/>
                <w:sz w:val="24"/>
              </w:rPr>
              <w:t>CRM</w:t>
            </w:r>
          </w:p>
        </w:tc>
        <w:tc>
          <w:tcPr>
            <w:tcW w:type="dxa" w:w="7087"/>
          </w:tcPr>
          <w:p>
            <w:r>
              <w:rPr>
                <w:rFonts w:ascii="Times New Roman" w:hAnsi="Times New Roman" w:eastAsia="Times New Roman"/>
                <w:b w:val="0"/>
                <w:i w:val="0"/>
                <w:sz w:val="24"/>
              </w:rPr>
              <w:t>Customer Relationship Management — quản lý quan hệ khách hàng</w:t>
            </w:r>
          </w:p>
        </w:tc>
      </w:tr>
      <w:tr>
        <w:tc>
          <w:tcPr>
            <w:tcW w:type="dxa" w:w="1984"/>
          </w:tcPr>
          <w:p>
            <w:r>
              <w:rPr>
                <w:rFonts w:ascii="Times New Roman" w:hAnsi="Times New Roman" w:eastAsia="Times New Roman"/>
                <w:b/>
                <w:i w:val="0"/>
                <w:sz w:val="24"/>
              </w:rPr>
              <w:t>DCV</w:t>
            </w:r>
          </w:p>
        </w:tc>
        <w:tc>
          <w:tcPr>
            <w:tcW w:type="dxa" w:w="7087"/>
          </w:tcPr>
          <w:p>
            <w:r>
              <w:rPr>
                <w:rFonts w:ascii="Times New Roman" w:hAnsi="Times New Roman" w:eastAsia="Times New Roman"/>
                <w:b w:val="0"/>
                <w:i w:val="0"/>
                <w:sz w:val="24"/>
              </w:rPr>
              <w:t>Domain Control Validation — xác thực quyền kiểm soát tên miền</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 — thiết kế hướng miền</w:t>
            </w:r>
          </w:p>
        </w:tc>
      </w:tr>
      <w:tr>
        <w:tc>
          <w:tcPr>
            <w:tcW w:type="dxa" w:w="1984"/>
          </w:tcPr>
          <w:p>
            <w:r>
              <w:rPr>
                <w:rFonts w:ascii="Times New Roman" w:hAnsi="Times New Roman" w:eastAsia="Times New Roman"/>
                <w:b/>
                <w:i w:val="0"/>
                <w:sz w:val="24"/>
              </w:rPr>
              <w:t>DDoS</w:t>
            </w:r>
          </w:p>
        </w:tc>
        <w:tc>
          <w:tcPr>
            <w:tcW w:type="dxa" w:w="7087"/>
          </w:tcPr>
          <w:p>
            <w:r>
              <w:rPr>
                <w:rFonts w:ascii="Times New Roman" w:hAnsi="Times New Roman" w:eastAsia="Times New Roman"/>
                <w:b w:val="0"/>
                <w:i w:val="0"/>
                <w:sz w:val="24"/>
              </w:rPr>
              <w:t>Distributed Denial of Service — tấn công từ chối dịch vụ phân tán</w:t>
            </w:r>
          </w:p>
        </w:tc>
      </w:tr>
      <w:tr>
        <w:tc>
          <w:tcPr>
            <w:tcW w:type="dxa" w:w="1984"/>
          </w:tcPr>
          <w:p>
            <w:r>
              <w:rPr>
                <w:rFonts w:ascii="Times New Roman" w:hAnsi="Times New Roman" w:eastAsia="Times New Roman"/>
                <w:b/>
                <w:i w:val="0"/>
                <w:sz w:val="24"/>
              </w:rPr>
              <w:t>DKIM</w:t>
            </w:r>
          </w:p>
        </w:tc>
        <w:tc>
          <w:tcPr>
            <w:tcW w:type="dxa" w:w="7087"/>
          </w:tcPr>
          <w:p>
            <w:r>
              <w:rPr>
                <w:rFonts w:ascii="Times New Roman" w:hAnsi="Times New Roman" w:eastAsia="Times New Roman"/>
                <w:b w:val="0"/>
                <w:i w:val="0"/>
                <w:sz w:val="24"/>
              </w:rPr>
              <w:t>DomainKeys Identified Mail — chữ ký số xác thực email theo tên miền</w:t>
            </w:r>
          </w:p>
        </w:tc>
      </w:tr>
      <w:tr>
        <w:tc>
          <w:tcPr>
            <w:tcW w:type="dxa" w:w="1984"/>
          </w:tcPr>
          <w:p>
            <w:r>
              <w:rPr>
                <w:rFonts w:ascii="Times New Roman" w:hAnsi="Times New Roman" w:eastAsia="Times New Roman"/>
                <w:b/>
                <w:i w:val="0"/>
                <w:sz w:val="24"/>
              </w:rPr>
              <w:t>DMARC</w:t>
            </w:r>
          </w:p>
        </w:tc>
        <w:tc>
          <w:tcPr>
            <w:tcW w:type="dxa" w:w="7087"/>
          </w:tcPr>
          <w:p>
            <w:r>
              <w:rPr>
                <w:rFonts w:ascii="Times New Roman" w:hAnsi="Times New Roman" w:eastAsia="Times New Roman"/>
                <w:b w:val="0"/>
                <w:i w:val="0"/>
                <w:sz w:val="24"/>
              </w:rPr>
              <w:t>Domain-based Message Authentication, Reporting and Conformance — chính sách chống giả mạo email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DSAR</w:t>
            </w:r>
          </w:p>
        </w:tc>
        <w:tc>
          <w:tcPr>
            <w:tcW w:type="dxa" w:w="7087"/>
          </w:tcPr>
          <w:p>
            <w:r>
              <w:rPr>
                <w:rFonts w:ascii="Times New Roman" w:hAnsi="Times New Roman" w:eastAsia="Times New Roman"/>
                <w:b w:val="0"/>
                <w:i w:val="0"/>
                <w:sz w:val="24"/>
              </w:rPr>
              <w:t>Data Subject Access Request — yêu cầu truy cập dữ liệu của chủ thể dữ liệu</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ERD</w:t>
            </w:r>
          </w:p>
        </w:tc>
        <w:tc>
          <w:tcPr>
            <w:tcW w:type="dxa" w:w="7087"/>
          </w:tcPr>
          <w:p>
            <w:r>
              <w:rPr>
                <w:rFonts w:ascii="Times New Roman" w:hAnsi="Times New Roman" w:eastAsia="Times New Roman"/>
                <w:b w:val="0"/>
                <w:i w:val="0"/>
                <w:sz w:val="24"/>
              </w:rPr>
              <w:t>Entity-Relationship Diagram — sơ đồ thực thể-quan hệ</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 — Tổ chức Tiêu chuẩn hóa Quốc tế</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K-12</w:t>
            </w:r>
          </w:p>
        </w:tc>
        <w:tc>
          <w:tcPr>
            <w:tcW w:type="dxa" w:w="7087"/>
          </w:tcPr>
          <w:p>
            <w:r>
              <w:rPr>
                <w:rFonts w:ascii="Times New Roman" w:hAnsi="Times New Roman" w:eastAsia="Times New Roman"/>
                <w:b w:val="0"/>
                <w:i w:val="0"/>
                <w:sz w:val="24"/>
              </w:rPr>
              <w:t>Kindergarten to Grade 12 — bậc giáo dục phổ thông từ mẫu giáo đến lớp 12</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Lean</w:t>
            </w:r>
          </w:p>
        </w:tc>
        <w:tc>
          <w:tcPr>
            <w:tcW w:type="dxa" w:w="7087"/>
          </w:tcPr>
          <w:p>
            <w:r>
              <w:rPr>
                <w:rFonts w:ascii="Times New Roman" w:hAnsi="Times New Roman" w:eastAsia="Times New Roman"/>
                <w:b w:val="0"/>
                <w:i w:val="0"/>
                <w:sz w:val="24"/>
              </w:rPr>
              <w:t>Lean Software Development — phát triển phần mềm tinh gọn (Poppendieck)</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NFR</w:t>
            </w:r>
          </w:p>
        </w:tc>
        <w:tc>
          <w:tcPr>
            <w:tcW w:type="dxa" w:w="7087"/>
          </w:tcPr>
          <w:p>
            <w:r>
              <w:rPr>
                <w:rFonts w:ascii="Times New Roman" w:hAnsi="Times New Roman" w:eastAsia="Times New Roman"/>
                <w:b w:val="0"/>
                <w:i w:val="0"/>
                <w:sz w:val="24"/>
              </w:rPr>
              <w:t>Non-Functional Requirement — yêu cầu phi chức năng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PDCA</w:t>
            </w:r>
          </w:p>
        </w:tc>
        <w:tc>
          <w:tcPr>
            <w:tcW w:type="dxa" w:w="7087"/>
          </w:tcPr>
          <w:p>
            <w:r>
              <w:rPr>
                <w:rFonts w:ascii="Times New Roman" w:hAnsi="Times New Roman" w:eastAsia="Times New Roman"/>
                <w:b w:val="0"/>
                <w:i w:val="0"/>
                <w:sz w:val="24"/>
              </w:rPr>
              <w:t>Plan-Do-Check-Act — chu trình cải tiến chất lượng (Deming)</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 — bảo mật mức hàng</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 — phần mềm dạng dịch vụ</w:t>
            </w:r>
          </w:p>
        </w:tc>
      </w:tr>
      <w:tr>
        <w:tc>
          <w:tcPr>
            <w:tcW w:type="dxa" w:w="1984"/>
          </w:tcPr>
          <w:p>
            <w:r>
              <w:rPr>
                <w:rFonts w:ascii="Times New Roman" w:hAnsi="Times New Roman" w:eastAsia="Times New Roman"/>
                <w:b/>
                <w:i w:val="0"/>
                <w:sz w:val="24"/>
              </w:rPr>
              <w:t>SDXL</w:t>
            </w:r>
          </w:p>
        </w:tc>
        <w:tc>
          <w:tcPr>
            <w:tcW w:type="dxa" w:w="7087"/>
          </w:tcPr>
          <w:p>
            <w:r>
              <w:rPr>
                <w:rFonts w:ascii="Times New Roman" w:hAnsi="Times New Roman" w:eastAsia="Times New Roman"/>
                <w:b w:val="0"/>
                <w:i w:val="0"/>
                <w:sz w:val="24"/>
              </w:rPr>
              <w:t>Stable Diffusion XL — mô hình sinh ảnh từ văn bản</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SLA</w:t>
            </w:r>
          </w:p>
        </w:tc>
        <w:tc>
          <w:tcPr>
            <w:tcW w:type="dxa" w:w="7087"/>
          </w:tcPr>
          <w:p>
            <w:r>
              <w:rPr>
                <w:rFonts w:ascii="Times New Roman" w:hAnsi="Times New Roman" w:eastAsia="Times New Roman"/>
                <w:b w:val="0"/>
                <w:i w:val="0"/>
                <w:sz w:val="24"/>
              </w:rPr>
              <w:t>Service Level Agreement — cam kết mức dịch vụ</w:t>
            </w:r>
          </w:p>
        </w:tc>
      </w:tr>
      <w:tr>
        <w:tc>
          <w:tcPr>
            <w:tcW w:type="dxa" w:w="1984"/>
          </w:tcPr>
          <w:p>
            <w:r>
              <w:rPr>
                <w:rFonts w:ascii="Times New Roman" w:hAnsi="Times New Roman" w:eastAsia="Times New Roman"/>
                <w:b/>
                <w:i w:val="0"/>
                <w:sz w:val="24"/>
              </w:rPr>
              <w:t>SPF</w:t>
            </w:r>
          </w:p>
        </w:tc>
        <w:tc>
          <w:tcPr>
            <w:tcW w:type="dxa" w:w="7087"/>
          </w:tcPr>
          <w:p>
            <w:r>
              <w:rPr>
                <w:rFonts w:ascii="Times New Roman" w:hAnsi="Times New Roman" w:eastAsia="Times New Roman"/>
                <w:b w:val="0"/>
                <w:i w:val="0"/>
                <w:sz w:val="24"/>
              </w:rPr>
              <w:t>Sender Policy Framework — bản ghi xác thực nguồn gửi email</w:t>
            </w:r>
          </w:p>
        </w:tc>
      </w:tr>
      <w:tr>
        <w:tc>
          <w:tcPr>
            <w:tcW w:type="dxa" w:w="1984"/>
          </w:tcPr>
          <w:p>
            <w:r>
              <w:rPr>
                <w:rFonts w:ascii="Times New Roman" w:hAnsi="Times New Roman" w:eastAsia="Times New Roman"/>
                <w:b/>
                <w:i w:val="0"/>
                <w:sz w:val="24"/>
              </w:rPr>
              <w:t>SSG</w:t>
            </w:r>
          </w:p>
        </w:tc>
        <w:tc>
          <w:tcPr>
            <w:tcW w:type="dxa" w:w="7087"/>
          </w:tcPr>
          <w:p>
            <w:r>
              <w:rPr>
                <w:rFonts w:ascii="Times New Roman" w:hAnsi="Times New Roman" w:eastAsia="Times New Roman"/>
                <w:b w:val="0"/>
                <w:i w:val="0"/>
                <w:sz w:val="24"/>
              </w:rPr>
              <w:t>Static Site Generation — sinh trang tĩnh</w:t>
            </w:r>
          </w:p>
        </w:tc>
      </w:tr>
      <w:tr>
        <w:tc>
          <w:tcPr>
            <w:tcW w:type="dxa" w:w="1984"/>
          </w:tcPr>
          <w:p>
            <w:r>
              <w:rPr>
                <w:rFonts w:ascii="Times New Roman" w:hAnsi="Times New Roman" w:eastAsia="Times New Roman"/>
                <w:b/>
                <w:i w:val="0"/>
                <w:sz w:val="24"/>
              </w:rPr>
              <w:t>SSR</w:t>
            </w:r>
          </w:p>
        </w:tc>
        <w:tc>
          <w:tcPr>
            <w:tcW w:type="dxa" w:w="7087"/>
          </w:tcPr>
          <w:p>
            <w:r>
              <w:rPr>
                <w:rFonts w:ascii="Times New Roman" w:hAnsi="Times New Roman" w:eastAsia="Times New Roman"/>
                <w:b w:val="0"/>
                <w:i w:val="0"/>
                <w:sz w:val="24"/>
              </w:rPr>
              <w:t>Server-Side Rendering — kết xuất phía máy chủ</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 — phát triển hướng kiểm thử</w:t>
            </w:r>
          </w:p>
        </w:tc>
      </w:tr>
      <w:tr>
        <w:tc>
          <w:tcPr>
            <w:tcW w:type="dxa" w:w="1984"/>
          </w:tcPr>
          <w:p>
            <w:r>
              <w:rPr>
                <w:rFonts w:ascii="Times New Roman" w:hAnsi="Times New Roman" w:eastAsia="Times New Roman"/>
                <w:b/>
                <w:i w:val="0"/>
                <w:sz w:val="24"/>
              </w:rPr>
              <w:t>TLS</w:t>
            </w:r>
          </w:p>
        </w:tc>
        <w:tc>
          <w:tcPr>
            <w:tcW w:type="dxa" w:w="7087"/>
          </w:tcPr>
          <w:p>
            <w:r>
              <w:rPr>
                <w:rFonts w:ascii="Times New Roman" w:hAnsi="Times New Roman" w:eastAsia="Times New Roman"/>
                <w:b w:val="0"/>
                <w:i w:val="0"/>
                <w:sz w:val="24"/>
              </w:rPr>
              <w:t>Transport Layer Security — bảo mật tầng truyền tải</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UUID</w:t>
            </w:r>
          </w:p>
        </w:tc>
        <w:tc>
          <w:tcPr>
            <w:tcW w:type="dxa" w:w="7087"/>
          </w:tcPr>
          <w:p>
            <w:r>
              <w:rPr>
                <w:rFonts w:ascii="Times New Roman" w:hAnsi="Times New Roman" w:eastAsia="Times New Roman"/>
                <w:b w:val="0"/>
                <w:i w:val="0"/>
                <w:sz w:val="24"/>
              </w:rPr>
              <w:t>Universally Unique Identifier — định danh duy nhất toàn cục</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WAF</w:t>
            </w:r>
          </w:p>
        </w:tc>
        <w:tc>
          <w:tcPr>
            <w:tcW w:type="dxa" w:w="7087"/>
          </w:tcPr>
          <w:p>
            <w:r>
              <w:rPr>
                <w:rFonts w:ascii="Times New Roman" w:hAnsi="Times New Roman" w:eastAsia="Times New Roman"/>
                <w:b w:val="0"/>
                <w:i w:val="0"/>
                <w:sz w:val="24"/>
              </w:rPr>
              <w:t>Web Application Firewall — tường lửa ứng dụng web</w:t>
            </w:r>
          </w:p>
        </w:tc>
      </w:tr>
      <w:tr>
        <w:tc>
          <w:tcPr>
            <w:tcW w:type="dxa" w:w="1984"/>
          </w:tcPr>
          <w:p>
            <w:r>
              <w:rPr>
                <w:rFonts w:ascii="Times New Roman" w:hAnsi="Times New Roman" w:eastAsia="Times New Roman"/>
                <w:b/>
                <w:i w:val="0"/>
                <w:sz w:val="24"/>
              </w:rPr>
              <w:t>WCAG</w:t>
            </w:r>
          </w:p>
        </w:tc>
        <w:tc>
          <w:tcPr>
            <w:tcW w:type="dxa" w:w="7087"/>
          </w:tcPr>
          <w:p>
            <w:r>
              <w:rPr>
                <w:rFonts w:ascii="Times New Roman" w:hAnsi="Times New Roman" w:eastAsia="Times New Roman"/>
                <w:b w:val="0"/>
                <w:i w:val="0"/>
                <w:sz w:val="24"/>
              </w:rPr>
              <w:t>Web Content Accessibility Guidelines — hướng dẫn truy cập nội dung web</w:t>
            </w:r>
          </w:p>
        </w:tc>
      </w:tr>
      <w:tr>
        <w:tc>
          <w:tcPr>
            <w:tcW w:type="dxa" w:w="1984"/>
          </w:tcPr>
          <w:p>
            <w:r>
              <w:rPr>
                <w:rFonts w:ascii="Times New Roman" w:hAnsi="Times New Roman" w:eastAsia="Times New Roman"/>
                <w:b/>
                <w:i w:val="0"/>
                <w:sz w:val="24"/>
              </w:rPr>
              <w:t>ZNS</w:t>
            </w:r>
          </w:p>
        </w:tc>
        <w:tc>
          <w:tcPr>
            <w:tcW w:type="dxa" w:w="7087"/>
          </w:tcPr>
          <w:p>
            <w:r>
              <w:rPr>
                <w:rFonts w:ascii="Times New Roman" w:hAnsi="Times New Roman" w:eastAsia="Times New Roman"/>
                <w:b w:val="0"/>
                <w:i w:val="0"/>
                <w:sz w:val="24"/>
              </w:rPr>
              <w:t>Zalo Notification Service — dịch vụ thông báo qua Zalo</w:t>
            </w:r>
          </w:p>
        </w:tc>
      </w:tr>
    </w:tbl>
    <w:p>
      <w:pPr>
        <w:sectPr>
          <w:headerReference w:type="default" r:id="rId33"/>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 phần mềm dạng dịch vụ) đa-tenant gốc, ưu tiên trải nghiệm người dùng tiếng Việt, và tự động hóa các tác vụ nhận diện thương hiệu bằng trí tuệ nhân tạo (AI — Artificial Intelligence)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Luật Bảo vệ Dữ liệu Cá nhân 2023 (PDPL — Personal Data Protection Law),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để duy trì chất lượng mã nguồn và tài liệu trong suốt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phục vụ nhóm trung tâm giáo dục thương mại tại Việt Nam (Hà Nội, TP. Hồ Chí Minh và các tỉnh lân cận). Về thời gian, phạm vi triển khai kéo dài từ tháng 5/2026 đến hết giai đoạn thử nghiệm tenant (~tháng 9/2026), với hai giáo viên độc lập (một dùng gói miễn phí, một dùng gói premium)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nhóm người dùng chính: giáo viên độc lập (Solo Teacher, 1-50 học viên), chủ sở hữu trung tâm (Center Owner, 1-10 chi nhánh, 100-2.000 học viên), và quản lý trung tâm (Center Manager). Nhóm phụ huynh (Parent) và học viên (Student) thuộc phân khúc K-12 (Kindergarten to Grade 12 — bậc giáo dục phổ thông từ mẫu giáo đến lớp 12) được hoãn sang giai đoạn mở rộng K-12 do yêu cầu bổ sung DPO (Data Protection Officer — cán bộ bảo vệ dữ liệu) và DPIA (Data Protection Impact Assessment —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phát triển hướng kiểm thử (TDD — Test-Driven Development, per Beck 2002), thiết kế hướng miền (DDD — Domain-Driven Design, per Evans 2003), chu trình Plan-Do-Check-Act (PDCA, per Deming 1986) và tư duy tinh gọn (Lean, per Poppendieck 2003) — mỗi vấn đề phát hiện được chuyển hóa thành quy tắc kiểm soát kèm cơ chế kiểm tra tự động, tích hợp ngay trong quy trình phát triển.</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 Application Programming Interface — Contract, Business Logic, Ops Readiness) chấm điểm /100 hoặc /128 định kỳ sau mỗi giai đoạn phát triển.</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(mô hình mô tả kiến trúc phần mềm bốn cấp Context-Container-Component-Code), kết hợp Use Case + Class + ERD (Entity-Relationship Diagram — sơ đồ thực thể-quan hệ)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truyền ngữ cảnh qua JWT — JSON Web Token, kiến trúc REST — Representational State Transfer — 3 tầng) được kiểm chứng qua unit test, integration test và E2E test. Thứ tư, đồ án trình bày kết quả triển khai thực tế trong giai đoạn thử nghiệm tenant kèm các KPI (Key Performance Indicator — chỉ số hiệu suất chính)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3"/>
      </w:pPr>
      <w:r>
        <w:rPr>
          <w:rFonts w:ascii="Times New Roman" w:hAnsi="Times New Roman" w:eastAsia="Times New Roman"/>
          <w:b/>
          <w:color w:val="000000"/>
          <w:sz w:val="28"/>
        </w:rPr>
        <w:t>1.1.1 Bối cảnh thị trường và mô hình học hỗn hợp</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hỗn hợp (B-learning, blended learning) — kết hợp lớp học sau giờ chính khóa và cuối tuần, phân biệt với trường công lập chính khóa. Thị trường mục tiêu của đồ án là các trung tâm vừa và nhỏ với 50-500 học sinh; phạm vi K-12 (giáo dục phổ thông từ mầm non đến lớp 12) trường công có lớp tuân thủ pháp lý riêng (cán bộ bảo vệ dữ liệu DPO, đánh giá tác động bảo vệ dữ liệu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mô hình học hỗn hợp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 đến thứ 7 từ 17:00 đến 21:00; thứ 7 và Chủ nhật từ 8:00 đến 17:00). Niên khóa tháng 9 đến tháng 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học kỳ 1 (tháng 9 đến tháng 12), học kỳ 2 (tháng 1 đến tháng 5) và học kỳ hè (tháng 6 đến tháng 8). Mẹ là đầu mối liên lạc chính cho việc học của con (~60%), bố dự phòng (35%), ông bà (5%). Khung Tết Nguyên Đán nghỉ 7-10 ngày cuối tháng 1, đầu tháng 2 yêu cầu lịch chạy tự động tính phí bỏ qua. Giai đoạn thử nghiệm hỗ trợ email; tích hợp Zalo OA cho phụ huynh là lộ trình giai đoạn vận hành chính thức.</w:t>
      </w:r>
    </w:p>
    <w:p>
      <w:pPr>
        <w:pStyle w:val="Heading3"/>
      </w:pPr>
      <w:r>
        <w:rPr>
          <w:rFonts w:ascii="Times New Roman" w:hAnsi="Times New Roman" w:eastAsia="Times New Roman"/>
          <w:b/>
          <w:color w:val="000000"/>
          <w:sz w:val="28"/>
        </w:rPr>
        <w:t>1.1.2 Phân tích nhóm người dùng đại diện giai đoạn thử nghiệm</w:t>
      </w:r>
    </w:p>
    <w:p>
      <w:pPr>
        <w:spacing w:line="288" w:lineRule="auto"/>
        <w:ind w:firstLine="567"/>
        <w:jc w:val="both"/>
      </w:pPr>
      <w:r>
        <w:rPr>
          <w:rFonts w:ascii="Times New Roman" w:hAnsi="Times New Roman" w:eastAsia="Times New Roman"/>
          <w:b w:val="0"/>
          <w:i w:val="0"/>
          <w:sz w:val="26"/>
        </w:rPr>
        <w:t xml:space="preserve">Đồ án tập trung bốn nhóm người dùng đại diện. </w:t>
      </w:r>
      <w:r>
        <w:rPr>
          <w:rFonts w:ascii="Times New Roman" w:hAnsi="Times New Roman" w:eastAsia="Times New Roman"/>
          <w:b/>
          <w:i w:val="0"/>
          <w:sz w:val="26"/>
        </w:rPr>
        <w:t>P1 — Giáo viên độc lập</w:t>
      </w:r>
      <w:r>
        <w:rPr>
          <w:rFonts w:ascii="Times New Roman" w:hAnsi="Times New Roman" w:eastAsia="Times New Roman"/>
          <w:b w:val="0"/>
          <w:i w:val="0"/>
          <w:sz w:val="26"/>
        </w:rPr>
        <w:t xml:space="preserve"> (28 tuổi, 5-50 học sinh, dạy IELTS/Toán) thay thế sổ tay giấy, Excel và Zalo thủ công bằng nền tảng tập trung, gói </w:t>
      </w:r>
      <w:r>
        <w:rPr>
          <w:rFonts w:ascii="Times New Roman" w:hAnsi="Times New Roman" w:eastAsia="Times New Roman"/>
          <w:b w:val="0"/>
          <w:i/>
          <w:sz w:val="26"/>
        </w:rPr>
        <w:t>FREE</w:t>
      </w:r>
      <w:r>
        <w:rPr>
          <w:rFonts w:ascii="Times New Roman" w:hAnsi="Times New Roman" w:eastAsia="Times New Roman"/>
          <w:b w:val="0"/>
          <w:i w:val="0"/>
          <w:sz w:val="26"/>
        </w:rPr>
        <w:t xml:space="preserve"> đủ dùng. </w:t>
      </w:r>
      <w:r>
        <w:rPr>
          <w:rFonts w:ascii="Times New Roman" w:hAnsi="Times New Roman" w:eastAsia="Times New Roman"/>
          <w:b/>
          <w:i w:val="0"/>
          <w:sz w:val="26"/>
        </w:rPr>
        <w:t>P2 — Chủ sở hữu trung tâm</w:t>
      </w:r>
      <w:r>
        <w:rPr>
          <w:rFonts w:ascii="Times New Roman" w:hAnsi="Times New Roman" w:eastAsia="Times New Roman"/>
          <w:b w:val="0"/>
          <w:i w:val="0"/>
          <w:sz w:val="26"/>
        </w:rPr>
        <w:t xml:space="preserve"> (35 tuổi, 20-100 học sinh, 2-5 giáo viên) thay ba công cụ rời rạc bằng nền tảng tích hợp, gói </w:t>
      </w:r>
      <w:r>
        <w:rPr>
          <w:rFonts w:ascii="Times New Roman" w:hAnsi="Times New Roman" w:eastAsia="Times New Roman"/>
          <w:b w:val="0"/>
          <w:i/>
          <w:sz w:val="26"/>
        </w:rPr>
        <w:t>STARTER</w:t>
      </w:r>
      <w:r>
        <w:rPr>
          <w:rFonts w:ascii="Times New Roman" w:hAnsi="Times New Roman" w:eastAsia="Times New Roman"/>
          <w:b w:val="0"/>
          <w:i w:val="0"/>
          <w:sz w:val="26"/>
        </w:rPr>
        <w:t xml:space="preserve">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 Quản lý trung tâm</w:t>
      </w:r>
      <w:r>
        <w:rPr>
          <w:rFonts w:ascii="Times New Roman" w:hAnsi="Times New Roman" w:eastAsia="Times New Roman"/>
          <w:b w:val="0"/>
          <w:i w:val="0"/>
          <w:sz w:val="26"/>
        </w:rPr>
        <w:t xml:space="preserve"> (24 tuổi, 100-500 học sinh, 5-15 giáo viên) cần nhập hàng loạt từ tệp CSV khoảng 300 dòng, phân quyền theo vai trò (vai trò quản lý không thấy mục thanh toán), nhật ký kiểm toán đầy đủ, gói </w:t>
      </w:r>
      <w:r>
        <w:rPr>
          <w:rFonts w:ascii="Times New Roman" w:hAnsi="Times New Roman" w:eastAsia="Times New Roman"/>
          <w:b w:val="0"/>
          <w:i/>
          <w:sz w:val="26"/>
        </w:rPr>
        <w:t>PRO</w:t>
      </w:r>
      <w:r>
        <w:rPr>
          <w:rFonts w:ascii="Times New Roman" w:hAnsi="Times New Roman" w:eastAsia="Times New Roman"/>
          <w:b w:val="0"/>
          <w:i w:val="0"/>
          <w:sz w:val="26"/>
        </w:rPr>
        <w:t xml:space="preserve">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trong giai đoạn thử nghiệm và nhóm Zalo cho cập nhật thường xuyên ở giai đoạn vận hành chính thức; học sinh truy cập qua thiết bị di động chiếm 85% phiên.</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quản lý trung tâm hiện có trên thị trường, và nhu cầu thực tế từ các nhóm người dùng cuối. Phần khảo sát các hệ thống tham khảo dưới đây phân tích bốn sản phẩm tiêu biểu trong phân khúc trung tâm giáo dục tư nhân — BeeClass, Mona eLMS, Easy Edu và DotB — theo các tiêu chí phân khúc mục tiêu, mức giá, kiến trúc, khả năng tích hợp AI và mức tuân thủ pháp luật Việt Nam.</w:t>
      </w:r>
    </w:p>
    <w:p>
      <w:pPr>
        <w:pStyle w:val="Heading3"/>
      </w:pPr>
      <w:r>
        <w:rPr>
          <w:rFonts w:ascii="Times New Roman" w:hAnsi="Times New Roman" w:eastAsia="Times New Roman"/>
          <w:b/>
          <w:color w:val="000000"/>
          <w:sz w:val="28"/>
        </w:rPr>
        <w:t>1.2.1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sở hữu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quy trình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đơn tenant (single-tenant) — mỗi khách hàng có một instance cơ sở dữ liệu riêng, khó mở rộng khi trung tâm mở chi nhánh thứ năm trở lên; chưa có tính năng tự sinh tài nguyên thương hiệu bằng AI; quy trình khởi tạo yêu cầu liên hệ bộ phận kinh doanh chứ chưa hoàn toàn tự phục vụ; mức giá tuy phải chăng hơn các sản phẩm hướng doanh nghiệp nhưng vẫn cao hơn mức 500.000đ/tháng mà phân khúc trung tâm tự phát nhỏ kỳ vọng.</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đơn tenant theo từng trung tâm (khó mở rộng nhượng quyền), không có khả năng tự sinh tài nguyên thương hiệu bằng AI, quy trình khởi tạo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sở hữu trung tâm (Center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(Center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phục vụ nhiều nhóm vai trò khác nhau (đa nhóm người dùng đại diện)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tổng hợp so sánh bốn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Trung tâm tiếng Anh</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1-3 triệu</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Phiên bản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Tích hợp Zalo ZNS</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Cổng thanh toán built-in</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Phiên bản sau</w:t>
            </w:r>
          </w:p>
        </w:tc>
      </w:tr>
      <w:tr>
        <w:tc>
          <w:tcPr>
            <w:tcW w:type="dxa" w:w="1440"/>
          </w:tcPr>
          <w:p>
            <w:r>
              <w:rPr>
                <w:sz w:val="24"/>
              </w:rPr>
            </w:r>
            <w:r>
              <w:rPr>
                <w:rFonts w:ascii="Times New Roman" w:hAnsi="Times New Roman" w:eastAsia="Times New Roman"/>
                <w:b w:val="0"/>
                <w:i w:val="0"/>
                <w:sz w:val="24"/>
              </w:rPr>
              <w:t>Tuân thủ PDPL 2023 built-in</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(từ ngày đầu)</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đa tenant nguyên bản:</w:t>
      </w:r>
      <w:r>
        <w:rPr>
          <w:rFonts w:ascii="Times New Roman" w:hAnsi="Times New Roman" w:eastAsia="Times New Roman"/>
          <w:b w:val="0"/>
          <w:i w:val="0"/>
          <w:sz w:val="26"/>
        </w:rPr>
        <w:t xml:space="preserve"> cả năm hệ thống tham khảo đều triển khai theo mô hình đơn tenant —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đa tenant nguyên bản với cô lập ở mức cơ sở dữ liệu (mỗi tenant một schema riêng),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tăng trưởng dẫn dắt bởi sản phẩm (PLG — Product-Led Growth) có thể bắt đầu từ phân khúc này và mở rộng lên cao hơn khi sản phẩm trưởng thành. Thời hạn PDPL ngày 01/07/2026 yêu cầu hơn 50.000 trung tâm phải tuân thủ trong khoảng bảy tuần (đến cuối tháng 6/2026), tạo lợi thế cạnh tranh tại thời điểm vàng cho hệ thống đề xuất với khả năng tuân thủ tích hợp sẵn. Bên cạnh đó, mô hình nhượng quyền (Apollo English, ILA, Wall Street English) đang phát triển — kiến trúc đa tenant phù hợp với lộ trình mở rộng nhượng quyền tốt hơn so với kiến trúc đơn 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gốc và tích hợp Zalo ZNS sang các phiên bản sau có rủi ro mất khách so với Mona eLMS và Easy Edu vốn đã có ứng dụng gốc — giải pháp giảm thiểu là giao diện web đáp ứng kết hợp nhóm Zalo trong phiên bản đầu, ưu tiên ứng dụng gốc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Easy Edu và Mona eLMS có nhiều năm hiện diện thị trường trong khi hệ thống đề xuất mới ra mắt — giải pháp giảm thiểu là tiếp cận tăng trưởng dẫn dắt bởi sản phẩm, tiếp thị nội dung tiếng Việt và chương trình người dùng tiên phong với các trung tâm thử nghiệm.</w:t>
      </w:r>
    </w:p>
    <w:p>
      <w:pPr>
        <w:pStyle w:val="Heading3"/>
      </w:pPr>
      <w:r>
        <w:rPr>
          <w:rFonts w:ascii="Times New Roman" w:hAnsi="Times New Roman" w:eastAsia="Times New Roman"/>
          <w:b/>
          <w:color w:val="000000"/>
          <w:sz w:val="28"/>
        </w:rPr>
        <w:t>1.3.3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hai giáo viên độc lập (một dùng gói miễn phí, một dùng gói trả phí), tập trung kiểm chứng trình hướng dẫn khởi tạo tenant, mô-đun AI Branding, kiến trúc đa tenant và ngưỡng tuân thủ pháp lý cơ bản; phạm vi triển khai trong giai đoạn này không thu phí và chấp nhận chính sách giảm thiểu chi phí hạ tầng. Giai đoạn thanh toán thử nghiệm mở rộng nhóm tenant thử nghiệm lên 30-50 trung tâm với chính sách thu phí giới thiệu thấp hơn giá niêm yết, mục đích chính là kiểm chứng mô hình giá, luồng khởi tạo chính thức và hệ thống thanh toán chuyển khoản kèm đối soát tự động; giai đoạn này tích hợp hóa đơn điện tử (eInvoice) qua hợp tác với nhà cung cấp được Tổng cục Thuế cấp phép. Giai đoạn vận hành chính thức mở cho mọi trung tâm tự đăng ký không qua quy trình mời, đi kèm thỏa thuận mức dịch vụ (SLA — Service Level Agreement) cam kết thời gian hoạt động ≥99,5% và bổ sung các kênh hỗ trợ (trò chuyện trực tuyến, kênh hỗ trợ Zalo OA), ứng dụng di động gốc cho học viên và phụ huynh, đa cổng thanh toán tích hợp. Giai đoạn mở rộng sang khối phổ thông K-12 phục vụ trường công lập và tư thục cấp 1-2 với yêu cầu bổ nhiệm cán bộ bảo vệ dữ liệu (DPO — Data Protection Officer) chính thức, đánh giá tác động bảo vệ dữ liệu (DPIA — Data Protection Impact Assessment) cho dữ liệu trẻ em theo Luật Bảo vệ Dữ liệu Cá nhân Điều 17 và Điều 26, hợp tác với Bộ Giáo dục và Đào tạo cùng các sở 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 bao gồm trình hướng dẫn khởi tạo cốt lõi, mô-đun AI Branding tự động, quản lý vòng đời tenant đầy đủ và tuân thủ pháp luật Việt Nam (PDPL, Luật An ninh mạng, ngưỡng hóa đơn điện tử). Các giai đoạn thanh toán thử nghiệm, vận hành chính thức và mở rộng sang khối K-12 được trình bày như lộ trình kỹ thuật nhưng không nằm trong phạm vi triển khai thực tế của đề tài. Việc tách giai đoạn này phù hợp với phương pháp luận sản phẩm tối giản khả thi (MVP — Minimum Viable Product) trong khởi nghiệp phần mềm — phát hành sản phẩm tối giản đáp ứng nhu cầu cốt lõi của nhóm người dùng đại diện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Mục tiêu hiệu năng cho giai đoạn thử nghiệm được đặt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spacing w:line="288" w:lineRule="auto"/>
        <w:ind w:firstLine="567"/>
        <w:jc w:val="both"/>
      </w:pPr>
      <w:r>
        <w:rPr>
          <w:rFonts w:ascii="Times New Roman" w:hAnsi="Times New Roman" w:eastAsia="Times New Roman"/>
          <w:b/>
          <w:i w:val="0"/>
          <w:sz w:val="26"/>
        </w:rPr>
        <w:t>Đặc trưng thị trường Việt Nam và hệ quả NFR.</w:t>
      </w:r>
      <w:r>
        <w:rPr>
          <w:rFonts w:ascii="Times New Roman" w:hAnsi="Times New Roman" w:eastAsia="Times New Roman"/>
          <w:b w:val="0"/>
          <w:i w:val="0"/>
          <w:sz w:val="26"/>
        </w:rPr>
        <w:t xml:space="preserve"> Bối cảnh người dùng được trình bày tại Chương 1 §1.1 trực tiếp ảnh hưởng tới NFR thuộc nhóm Compatibility (i18n locale, định dạng tiền tệ, ngày tháng), Usability (xưng hô email phù hợp vai trò, kênh giao tiếp Zalo cho phụ huynh) và Reliability (khung lịch tải đỉnh buổi tối, cron tính phí bỏ qua khung Tết). Bảng 2.3 ánh xạ các đặc trưng này sang yêu cầu thiết kế cụ thể.</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Việt Nam và hệ quả NFR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NFR</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Compatibility: 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Compatibility: 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Usability: 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Functional Suitability: 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Usability: 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Performance: lịch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Usability: 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Reliability: cron tính phí + lịch lớp bỏ qua khung Tết</w:t>
            </w:r>
          </w:p>
        </w:tc>
      </w:tr>
    </w:tbl>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6" name="Picture 6"/>
            <wp:cNvGraphicFramePr>
              <a:graphicFrameLocks noChangeAspect="1"/>
            </wp:cNvGraphicFramePr>
            <a:graphic>
              <a:graphicData uri="http://schemas.openxmlformats.org/drawingml/2006/picture">
                <pic:pic>
                  <pic:nvPicPr>
                    <pic:cNvPr id="0" name="mermaid-f5a7d770a853ce87.png"/>
                    <pic:cNvPicPr/>
                  </pic:nvPicPr>
                  <pic:blipFill>
                    <a:blip r:embed="rId14"/>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pageBreakBefore/>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Đồ án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được xây dựng riêng</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pageBreakBefore/>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Vấn đề được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2607157"/>
            <wp:docPr id="9" name="Picture 9"/>
            <wp:cNvGraphicFramePr>
              <a:graphicFrameLocks noChangeAspect="1"/>
            </wp:cNvGraphicFramePr>
            <a:graphic>
              <a:graphicData uri="http://schemas.openxmlformats.org/drawingml/2006/picture">
                <pic:pic>
                  <pic:nvPicPr>
                    <pic:cNvPr id="0" name="mermaid-937a5ae77a6cbd8c.png"/>
                    <pic:cNvPicPr/>
                  </pic:nvPicPr>
                  <pic:blipFill>
                    <a:blip r:embed="rId17"/>
                    <a:stretch>
                      <a:fillRect/>
                    </a:stretch>
                  </pic:blipFill>
                  <pic:spPr>
                    <a:xfrm>
                      <a:off x="0" y="0"/>
                      <a:ext cx="5760000" cy="2607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2880000"/>
            <wp:docPr id="10" name="Picture 10"/>
            <wp:cNvGraphicFramePr>
              <a:graphicFrameLocks noChangeAspect="1"/>
            </wp:cNvGraphicFramePr>
            <a:graphic>
              <a:graphicData uri="http://schemas.openxmlformats.org/drawingml/2006/picture">
                <pic:pic>
                  <pic:nvPicPr>
                    <pic:cNvPr id="0" name="mermaid-3352d2cdf91ac76b.png"/>
                    <pic:cNvPicPr/>
                  </pic:nvPicPr>
                  <pic:blipFill>
                    <a:blip r:embed="rId18"/>
                    <a:stretch>
                      <a:fillRect/>
                    </a:stretch>
                  </pic:blipFill>
                  <pic:spPr>
                    <a:xfrm>
                      <a:off x="0" y="0"/>
                      <a:ext cx="5760000" cy="28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line="288" w:lineRule="auto"/>
        <w:ind w:firstLine="567"/>
        <w:jc w:val="both"/>
      </w:pPr>
      <w:r>
        <w:rPr>
          <w:rFonts w:ascii="Times New Roman" w:hAnsi="Times New Roman" w:eastAsia="Times New Roman"/>
          <w:b w:val="0"/>
          <w:i w:val="0"/>
          <w:sz w:val="26"/>
        </w:rPr>
        <w:t>Hình 2.4c mô tả chuỗi định tuyến tổng thể từ trình duyệt đến dữ liệu landing của tenant.</w:t>
      </w:r>
    </w:p>
    <w:p>
      <w:pPr>
        <w:pageBreakBefore/>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p>
      <w:pPr>
        <w:spacing w:line="288" w:lineRule="auto"/>
        <w:ind w:firstLine="567"/>
        <w:jc w:val="both"/>
      </w:pPr>
      <w:r>
        <w:rPr>
          <w:rFonts w:ascii="Times New Roman" w:hAnsi="Times New Roman" w:eastAsia="Times New Roman"/>
          <w:b w:val="0"/>
          <w:i w:val="0"/>
          <w:sz w:val="26"/>
        </w:rPr>
        <w:t>Bảng 2.6 so sánh hai phương thức truy cập theo các tiêu chí cấp phát, DNS, chứng chỉ SSL và xác minh quyền sở hữu.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So sánh subdomain và tên miền riêng trong cơ chế định tuyến đa tenant</w:t>
      </w:r>
    </w:p>
    <w:p>
      <w:pPr>
        <w:spacing w:line="288" w:lineRule="auto"/>
        <w:ind w:firstLine="567"/>
        <w:jc w:val="both"/>
      </w:pPr>
      <w:r>
        <w:rPr>
          <w:rFonts w:ascii="Times New Roman" w:hAnsi="Times New Roman" w:eastAsia="Times New Roman"/>
          <w:b w:val="0"/>
          <w:i w:val="0"/>
          <w:sz w:val="26"/>
        </w:rPr>
        <w:t>Hình 2.4d trình bày tuần tự phân giải tenant theo subdomain, từ yêu cầu trình duyệt đến dữ liệu landing được lọc bởi RLS.</w:t>
      </w:r>
    </w:p>
    <w:p>
      <w:pPr>
        <w:spacing w:before="120" w:after="120"/>
        <w:jc w:val="center"/>
      </w:pPr>
      <w:r>
        <w:drawing>
          <wp:inline xmlns:a="http://schemas.openxmlformats.org/drawingml/2006/main" xmlns:pic="http://schemas.openxmlformats.org/drawingml/2006/picture">
            <wp:extent cx="5760000" cy="2264898"/>
            <wp:docPr id="12" name="Picture 12"/>
            <wp:cNvGraphicFramePr>
              <a:graphicFrameLocks noChangeAspect="1"/>
            </wp:cNvGraphicFramePr>
            <a:graphic>
              <a:graphicData uri="http://schemas.openxmlformats.org/drawingml/2006/picture">
                <pic:pic>
                  <pic:nvPicPr>
                    <pic:cNvPr id="0" name="mermaid-7dabbf6c19ae66fe.png"/>
                    <pic:cNvPicPr/>
                  </pic:nvPicPr>
                  <pic:blipFill>
                    <a:blip r:embed="rId20"/>
                    <a:stretch>
                      <a:fillRect/>
                    </a:stretch>
                  </pic:blipFill>
                  <pic:spPr>
                    <a:xfrm>
                      <a:off x="0" y="0"/>
                      <a:ext cx="5760000" cy="226489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pageBreakBefore/>
        <w:spacing w:before="120" w:after="120"/>
        <w:jc w:val="center"/>
      </w:pPr>
      <w:r>
        <w:drawing>
          <wp:inline xmlns:a="http://schemas.openxmlformats.org/drawingml/2006/main" xmlns:pic="http://schemas.openxmlformats.org/drawingml/2006/picture">
            <wp:extent cx="3492050" cy="6480000"/>
            <wp:docPr id="13" name="Picture 13"/>
            <wp:cNvGraphicFramePr>
              <a:graphicFrameLocks noChangeAspect="1"/>
            </wp:cNvGraphicFramePr>
            <a:graphic>
              <a:graphicData uri="http://schemas.openxmlformats.org/drawingml/2006/picture">
                <pic:pic>
                  <pic:nvPicPr>
                    <pic:cNvPr id="0" name="mermaid-cfe5ec891d00c4b9.png"/>
                    <pic:cNvPicPr/>
                  </pic:nvPicPr>
                  <pic:blipFill>
                    <a:blip r:embed="rId21"/>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4" name="Picture 14"/>
            <wp:cNvGraphicFramePr>
              <a:graphicFrameLocks noChangeAspect="1"/>
            </wp:cNvGraphicFramePr>
            <a:graphic>
              <a:graphicData uri="http://schemas.openxmlformats.org/drawingml/2006/picture">
                <pic:pic>
                  <pic:nvPicPr>
                    <pic:cNvPr id="0" name="mermaid-f005980df8c8a241.png"/>
                    <pic:cNvPicPr/>
                  </pic:nvPicPr>
                  <pic:blipFill>
                    <a:blip r:embed="rId22"/>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760000" cy="1783058"/>
            <wp:docPr id="15" name="Picture 15"/>
            <wp:cNvGraphicFramePr>
              <a:graphicFrameLocks noChangeAspect="1"/>
            </wp:cNvGraphicFramePr>
            <a:graphic>
              <a:graphicData uri="http://schemas.openxmlformats.org/drawingml/2006/picture">
                <pic:pic>
                  <pic:nvPicPr>
                    <pic:cNvPr id="0" name="mermaid-c1c711fb26610c4d.png"/>
                    <pic:cNvPicPr/>
                  </pic:nvPicPr>
                  <pic:blipFill>
                    <a:blip r:embed="rId23"/>
                    <a:stretch>
                      <a:fillRect/>
                    </a:stretch>
                  </pic:blipFill>
                  <pic:spPr>
                    <a:xfrm>
                      <a:off x="0" y="0"/>
                      <a:ext cx="5760000" cy="17830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2673317"/>
            <wp:docPr id="16" name="Picture 16"/>
            <wp:cNvGraphicFramePr>
              <a:graphicFrameLocks noChangeAspect="1"/>
            </wp:cNvGraphicFramePr>
            <a:graphic>
              <a:graphicData uri="http://schemas.openxmlformats.org/drawingml/2006/picture">
                <pic:pic>
                  <pic:nvPicPr>
                    <pic:cNvPr id="0" name="mermaid-b7796a844892db44.png"/>
                    <pic:cNvPicPr/>
                  </pic:nvPicPr>
                  <pic:blipFill>
                    <a:blip r:embed="rId24"/>
                    <a:stretch>
                      <a:fillRect/>
                    </a:stretch>
                  </pic:blipFill>
                  <pic:spPr>
                    <a:xfrm>
                      <a:off x="0" y="0"/>
                      <a:ext cx="5760000" cy="26733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pageBreakBefore/>
        <w:spacing w:before="120" w:after="120"/>
        <w:jc w:val="center"/>
      </w:pPr>
      <w:r>
        <w:drawing>
          <wp:inline xmlns:a="http://schemas.openxmlformats.org/drawingml/2006/main" xmlns:pic="http://schemas.openxmlformats.org/drawingml/2006/picture">
            <wp:extent cx="5188811" cy="6480000"/>
            <wp:docPr id="17" name="Picture 17"/>
            <wp:cNvGraphicFramePr>
              <a:graphicFrameLocks noChangeAspect="1"/>
            </wp:cNvGraphicFramePr>
            <a:graphic>
              <a:graphicData uri="http://schemas.openxmlformats.org/drawingml/2006/picture">
                <pic:pic>
                  <pic:nvPicPr>
                    <pic:cNvPr id="0" name="mermaid-3e2649c3cbb965e5.png"/>
                    <pic:cNvPicPr/>
                  </pic:nvPicPr>
                  <pic:blipFill>
                    <a:blip r:embed="rId25"/>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sở hữu trung tâm)</w:t>
      </w:r>
    </w:p>
    <w:p>
      <w:pPr>
        <w:spacing w:before="120" w:after="60"/>
        <w:jc w:val="center"/>
      </w:pPr>
      <w:r>
        <w:rPr>
          <w:rFonts w:ascii="Times New Roman" w:hAnsi="Times New Roman" w:eastAsia="Times New Roman"/>
          <w:b w:val="0"/>
          <w:i/>
          <w:color w:val="808080"/>
          <w:sz w:val="26"/>
        </w:rPr>
        <w:t>[Hình minh hoạ: 12-public-homepage-sky-branded.png — chưa có file]</w:t>
      </w:r>
    </w:p>
    <w:p>
      <w:pPr>
        <w:spacing w:before="120" w:after="60"/>
        <w:jc w:val="center"/>
      </w:pPr>
      <w:r>
        <w:rPr>
          <w:rFonts w:ascii="Times New Roman" w:hAnsi="Times New Roman" w:eastAsia="Times New Roman"/>
          <w:b w:val="0"/>
          <w:i/>
          <w:color w:val="808080"/>
          <w:sz w:val="26"/>
        </w:rPr>
        <w:t>[Hình minh hoạ: 01-login-page.png — chưa có file]</w:t>
      </w:r>
    </w:p>
    <w:p>
      <w:pPr>
        <w:spacing w:before="120" w:after="60"/>
        <w:jc w:val="center"/>
      </w:pPr>
      <w:r>
        <w:rPr>
          <w:rFonts w:ascii="Times New Roman" w:hAnsi="Times New Roman" w:eastAsia="Times New Roman"/>
          <w:b w:val="0"/>
          <w:i/>
          <w:color w:val="808080"/>
          <w:sz w:val="26"/>
        </w:rPr>
        <w:t>[Hình minh hoạ: 02-dashboard-overview-kpi-orange.png — chưa có file]</w:t>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sở hữu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Trong giai đoạn thử nghiệm,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rPr>
          <w:rFonts w:ascii="Times New Roman" w:hAnsi="Times New Roman" w:eastAsia="Times New Roman"/>
          <w:b w:val="0"/>
          <w:i/>
          <w:color w:val="808080"/>
          <w:sz w:val="26"/>
        </w:rPr>
        <w:t>[Hình minh hoạ: 03-branding-settings.png — chưa có file]</w:t>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rPr>
          <w:rFonts w:ascii="Times New Roman" w:hAnsi="Times New Roman" w:eastAsia="Times New Roman"/>
          <w:b w:val="0"/>
          <w:i/>
          <w:color w:val="808080"/>
          <w:sz w:val="26"/>
        </w:rPr>
        <w:t>[Hình minh hoạ: 05-students.png — chưa có file]</w:t>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Trong giai đoạn thử nghiệm,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trong giai đoạn thử nghiệm: trang chủ công khai mang thương hiệu riêng, tùy biến thương hiệu bằng AI, bảng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API tổng hợp số liệu) cùng các thống kê doanh thu. Các giao diện thuộc phạm vi giai đoạn tiếp theo gồm: cổng thông tin dành cho phụ huynh (nhóm người dùng đại diện P4), ứng dụng di động gốc (sau giai đoạn thương mại hóa), và quản lý học bạ K-12 (nhóm người dùng đại diện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pageBreakBefore/>
        <w:spacing w:before="120" w:after="120"/>
        <w:jc w:val="center"/>
      </w:pPr>
      <w:r>
        <w:drawing>
          <wp:inline xmlns:a="http://schemas.openxmlformats.org/drawingml/2006/main" xmlns:pic="http://schemas.openxmlformats.org/drawingml/2006/picture">
            <wp:extent cx="3620404" cy="6480000"/>
            <wp:docPr id="18" name="Picture 18"/>
            <wp:cNvGraphicFramePr>
              <a:graphicFrameLocks noChangeAspect="1"/>
            </wp:cNvGraphicFramePr>
            <a:graphic>
              <a:graphicData uri="http://schemas.openxmlformats.org/drawingml/2006/picture">
                <pic:pic>
                  <pic:nvPicPr>
                    <pic:cNvPr id="0" name="mermaid-f91993f073a5141c.png"/>
                    <pic:cNvPicPr/>
                  </pic:nvPicPr>
                  <pic:blipFill>
                    <a:blip r:embed="rId26"/>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pageBreakBefore/>
        <w:spacing w:before="120" w:after="120"/>
        <w:jc w:val="center"/>
      </w:pPr>
      <w:r>
        <w:drawing>
          <wp:inline xmlns:a="http://schemas.openxmlformats.org/drawingml/2006/main" xmlns:pic="http://schemas.openxmlformats.org/drawingml/2006/picture">
            <wp:extent cx="3265856" cy="6480000"/>
            <wp:docPr id="19" name="Picture 19"/>
            <wp:cNvGraphicFramePr>
              <a:graphicFrameLocks noChangeAspect="1"/>
            </wp:cNvGraphicFramePr>
            <a:graphic>
              <a:graphicData uri="http://schemas.openxmlformats.org/drawingml/2006/picture">
                <pic:pic>
                  <pic:nvPicPr>
                    <pic:cNvPr id="0" name="plantuml-294497237df6674e.png"/>
                    <pic:cNvPicPr/>
                  </pic:nvPicPr>
                  <pic:blipFill>
                    <a:blip r:embed="rId27"/>
                    <a:stretch>
                      <a:fillRect/>
                    </a:stretch>
                  </pic:blipFill>
                  <pic:spPr>
                    <a:xfrm>
                      <a:off x="0" y="0"/>
                      <a:ext cx="3265856"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pageBreakBefore/>
        <w:spacing w:before="120" w:after="120"/>
        <w:jc w:val="center"/>
      </w:pPr>
      <w:r>
        <w:drawing>
          <wp:inline xmlns:a="http://schemas.openxmlformats.org/drawingml/2006/main" xmlns:pic="http://schemas.openxmlformats.org/drawingml/2006/picture">
            <wp:extent cx="5760000" cy="5782721"/>
            <wp:docPr id="20" name="Picture 20"/>
            <wp:cNvGraphicFramePr>
              <a:graphicFrameLocks noChangeAspect="1"/>
            </wp:cNvGraphicFramePr>
            <a:graphic>
              <a:graphicData uri="http://schemas.openxmlformats.org/drawingml/2006/picture">
                <pic:pic>
                  <pic:nvPicPr>
                    <pic:cNvPr id="0" name="plantuml-e506096e358f22e1.png"/>
                    <pic:cNvPicPr/>
                  </pic:nvPicPr>
                  <pic:blipFill>
                    <a:blip r:embed="rId28"/>
                    <a:stretch>
                      <a:fillRect/>
                    </a:stretch>
                  </pic:blipFill>
                  <pic:spPr>
                    <a:xfrm>
                      <a:off x="0" y="0"/>
                      <a:ext cx="5760000" cy="578272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ở giai đoạn thử nghiệm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219294"/>
            <wp:docPr id="21" name="Picture 21"/>
            <wp:cNvGraphicFramePr>
              <a:graphicFrameLocks noChangeAspect="1"/>
            </wp:cNvGraphicFramePr>
            <a:graphic>
              <a:graphicData uri="http://schemas.openxmlformats.org/drawingml/2006/picture">
                <pic:pic>
                  <pic:nvPicPr>
                    <pic:cNvPr id="0" name="mermaid-32cf937050deb6cc.png"/>
                    <pic:cNvPicPr/>
                  </pic:nvPicPr>
                  <pic:blipFill>
                    <a:blip r:embed="rId29"/>
                    <a:stretch>
                      <a:fillRect/>
                    </a:stretch>
                  </pic:blipFill>
                  <pic:spPr>
                    <a:xfrm>
                      <a:off x="0" y="0"/>
                      <a:ext cx="5760000" cy="221929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217663"/>
            <wp:docPr id="22" name="Picture 22"/>
            <wp:cNvGraphicFramePr>
              <a:graphicFrameLocks noChangeAspect="1"/>
            </wp:cNvGraphicFramePr>
            <a:graphic>
              <a:graphicData uri="http://schemas.openxmlformats.org/drawingml/2006/picture">
                <pic:pic>
                  <pic:nvPicPr>
                    <pic:cNvPr id="0" name="mermaid-4d19df8175f80777.png"/>
                    <pic:cNvPicPr/>
                  </pic:nvPicPr>
                  <pic:blipFill>
                    <a:blip r:embed="rId30"/>
                    <a:stretch>
                      <a:fillRect/>
                    </a:stretch>
                  </pic:blipFill>
                  <pic:spPr>
                    <a:xfrm>
                      <a:off x="0" y="0"/>
                      <a:ext cx="5760000" cy="22176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vai trò OIDC tạm thời (mỗi lần chạy workflow assume role mới với token một giờ, không nhúng cứng AWS access key trong GitHub Secrets); phạm vi IAM thu hẹp (vai trò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quyền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các EC2 mang nhãn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phạm vi rộng hơn); cổng xác nhận đầu vào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nguyên văn để kích hoạt, phòng ngừa triển khai nhầm); và smoke test admin-login sau triển khai (kiểm thử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thông tin quản trị viên đã được khởi tạo sẵn, kỳ vọng mã 200 và JWT — bắt được lỗi class binding đặc thù PostgreSQL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p>
      <w:pPr>
        <w:spacing w:line="288" w:lineRule="auto"/>
        <w:ind w:firstLine="567"/>
        <w:jc w:val="both"/>
      </w:pPr>
      <w:r>
        <w:rPr>
          <w:rFonts w:ascii="Times New Roman" w:hAnsi="Times New Roman" w:eastAsia="Times New Roman"/>
          <w:b w:val="0"/>
          <w:i w:val="0"/>
          <w:sz w:val="26"/>
        </w:rPr>
        <w:t xml:space="preserve">Bảng 4.1 liệt kê các bản ghi DNS chính được cấu hình cho tên miền </w:t>
      </w:r>
      <w:r>
        <w:rPr>
          <w:rFonts w:ascii="Times New Roman" w:hAnsi="Times New Roman" w:eastAsia="Times New Roman"/>
          <w:b w:val="0"/>
          <w:i/>
          <w:sz w:val="26"/>
        </w:rPr>
        <w:t>kitehub.me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tài nguyên Terraform đã apply (CloudTrail ghi nhận đầy đủ); hai EC2 instance và RDS PostgreSQL đa tenant với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trang chủ đa tenant; cơ chế phân giải Tenant → Domain → Landing (mục 2.2.6) hoạt động trên lớp gateway, được minh chứng qua trang chủ công khai của tenant mẫu Sky Education với giao diện thương hiệu riêng (mục 4.2); AWS SES đã được phê duyệt production mode; CI/CD pipeline OIDC + ECR + SSM hoạt động đầy đủ; cơ chế mời tenant thử nghiệm đã sẵn sàng nhận yêu cầu.</w:t>
      </w:r>
    </w:p>
    <w:p>
      <w:pPr>
        <w:pStyle w:val="Heading2"/>
      </w:pPr>
      <w:r>
        <w:rPr>
          <w:rFonts w:ascii="Times New Roman" w:hAnsi="Times New Roman" w:eastAsia="Times New Roman"/>
          <w:b/>
          <w:color w:val="000000"/>
          <w:sz w:val="32"/>
        </w:rPr>
        <w:t>4.2 Kết quả tương tác end-user và minh chứng</w:t>
      </w:r>
    </w:p>
    <w:p>
      <w:pPr>
        <w:spacing w:line="288" w:lineRule="auto"/>
        <w:ind w:firstLine="567"/>
        <w:jc w:val="both"/>
      </w:pPr>
      <w:r>
        <w:rPr>
          <w:rFonts w:ascii="Times New Roman" w:hAnsi="Times New Roman" w:eastAsia="Times New Roman"/>
          <w:b w:val="0"/>
          <w:i w:val="0"/>
          <w:sz w:val="26"/>
        </w:rPr>
        <w:t>[Phần này sẽ điền sau khi thu thập phản hồi từ các tenant thử nghiệm trong giai đoạn mời chính thức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chính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phản hồi xác nhận từ chủ sở hữu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(số người dùng hoạt động, số lần sinh AI Branding, số giao dịch thanh toán đã xử lý) trong cửa sổ 2-4 tuần đầu sau khi mời thử nghiệm.</w:t>
      </w:r>
    </w:p>
    <w:p>
      <w:pPr>
        <w:pStyle w:val="ListBullet"/>
        <w:spacing w:line="288" w:lineRule="auto"/>
        <w:ind w:left="850" w:hanging="283"/>
      </w:pPr>
      <w:r>
        <w:rPr>
          <w:rFonts w:ascii="Times New Roman" w:hAnsi="Times New Roman" w:eastAsia="Times New Roman"/>
          <w:b w:val="0"/>
          <w:i w:val="0"/>
          <w:sz w:val="26"/>
        </w:rPr>
        <w:t>Ảnh chụp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ba nhóm người dùng (giáo viên độc lập, chủ sở hữu trung tâm, quản lý trung tâm); nhóm phụ huynh và học viên thuộc phân khúc K-12 được hoãn sang giai đoạn mở rộng K-12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giai đoạn thử nghiệm mới có hai giáo viên độc lập (một gói miễn phí, một gói premium)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4"/>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header" Target="header1.xml"/><Relationship Id="rId32" Type="http://schemas.openxmlformats.org/officeDocument/2006/relationships/header" Target="header2.xml"/><Relationship Id="rId33" Type="http://schemas.openxmlformats.org/officeDocument/2006/relationships/header" Target="header3.xml"/><Relationship Id="rId3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