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40"/>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41"/>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42"/>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cùng Nghị định 147/2024/NĐ-CP về giao dịch điện tử [34], là các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phù hợp với khung tuân thủ cho phần mềm dịch vụ xử lý dữ liệu cá nhân tại Việt Nam [35]: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[30] đảm trách xác thực và phân quyền với hỗ trợ OAuth2/JWT [29];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12-public-homepage-sky-branded.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1-login-page.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2-dashboard-overview-kpi-orange.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gồm thẻ chào mừng kèm các thao tác nhanh (thêm học sinh, thêm giáo viên, tạo khóa học) và bốn thẻ chỉ số tổng quan — Tổng học viên, Giáo viên, Khóa học và Lớp học — hiển thị lần lượt 30, 1, 1 và 0 cho tenant của cô Khánh. Ba thẻ đầu phản ánh đúng dữ liệu thực trong cơ sở dữ liệu; riêng thẻ Lớp học tạm hiển thị 0 do endpoint thống kê lớp chưa hoàn thiện ở thời điểm thực hiện đồ án — phản ánh trung thực mức độ hoàn thiện của tính năng. Bên dưới là hai bảng "Học viên mới nhất" và "Hóa đơn gần đây" liệt kê hoạt động gần đây của trung tâm.</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3-branding-settings.png"/>
                    <pic:cNvPicPr/>
                  </pic:nvPicPr>
                  <pic:blipFill>
                    <a:blip r:embed="rId3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và qua bộ phân loại an toàn nội dung tự động [32] trước khi nhấn triển khai; thứ hai là cách tiếp cận ưu tiên mẫu có sẵn (template-first) — hệ thống mặc định dùng các mẫu đã qua kiểm định chất lượng, chỉ gọi mô hình sinh nội dung bằng trí tuệ nhân tạo [31]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5-students.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3.1.4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theo quy trình đảm bảo chất lượng phần mềm (SQA) chuẩn IEEE 730 [23].</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6" name="Picture 26"/>
            <wp:cNvGraphicFramePr>
              <a:graphicFrameLocks noChangeAspect="1"/>
            </wp:cNvGraphicFramePr>
            <a:graphic>
              <a:graphicData uri="http://schemas.openxmlformats.org/drawingml/2006/picture">
                <pic:pic>
                  <pic:nvPicPr>
                    <pic:cNvPr id="0" name="plantuml-294497237df6674e.png"/>
                    <pic:cNvPicPr/>
                  </pic:nvPicPr>
                  <pic:blipFill>
                    <a:blip r:embed="rId34"/>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7" name="Picture 27"/>
            <wp:cNvGraphicFramePr>
              <a:graphicFrameLocks noChangeAspect="1"/>
            </wp:cNvGraphicFramePr>
            <a:graphic>
              <a:graphicData uri="http://schemas.openxmlformats.org/drawingml/2006/picture">
                <pic:pic>
                  <pic:nvPicPr>
                    <pic:cNvPr id="0" name="plantuml-e506096e358f22e1.png"/>
                    <pic:cNvPicPr/>
                  </pic:nvPicPr>
                  <pic:blipFill>
                    <a:blip r:embed="rId35"/>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và các thực hành DevOps hiệu năng cao [38]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8" name="Picture 28"/>
            <wp:cNvGraphicFramePr>
              <a:graphicFrameLocks noChangeAspect="1"/>
            </wp:cNvGraphicFramePr>
            <a:graphic>
              <a:graphicData uri="http://schemas.openxmlformats.org/drawingml/2006/picture">
                <pic:pic>
                  <pic:nvPicPr>
                    <pic:cNvPr id="0" name="mermaid-60538a9e5a241a58.png"/>
                    <pic:cNvPicPr/>
                  </pic:nvPicPr>
                  <pic:blipFill>
                    <a:blip r:embed="rId36"/>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9" name="Picture 29"/>
            <wp:cNvGraphicFramePr>
              <a:graphicFrameLocks noChangeAspect="1"/>
            </wp:cNvGraphicFramePr>
            <a:graphic>
              <a:graphicData uri="http://schemas.openxmlformats.org/drawingml/2006/picture">
                <pic:pic>
                  <pic:nvPicPr>
                    <pic:cNvPr id="0" name="mermaid-fc29fe5a3a5711a8.png"/>
                    <pic:cNvPicPr/>
                  </pic:nvPicPr>
                  <pic:blipFill>
                    <a:blip r:embed="rId37"/>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spacing w:before="120" w:after="60"/>
        <w:jc w:val="center"/>
      </w:pPr>
      <w:r>
        <w:drawing>
          <wp:inline xmlns:a="http://schemas.openxmlformats.org/drawingml/2006/main" xmlns:pic="http://schemas.openxmlformats.org/drawingml/2006/picture">
            <wp:extent cx="5760000" cy="3600000"/>
            <wp:docPr id="30" name="Picture 30"/>
            <wp:cNvGraphicFramePr>
              <a:graphicFrameLocks noChangeAspect="1"/>
            </wp:cNvGraphicFramePr>
            <a:graphic>
              <a:graphicData uri="http://schemas.openxmlformats.org/drawingml/2006/picture">
                <pic:pic>
                  <pic:nvPicPr>
                    <pic:cNvPr id="0" name="ha-homepage-blue-branded.png"/>
                    <pic:cNvPicPr/>
                  </pic:nvPicPr>
                  <pic:blipFill>
                    <a:blip r:embed="rId3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4.3</w:t>
      </w:r>
      <w:r>
        <w:rPr>
          <w:rFonts w:ascii="Times New Roman" w:hAnsi="Times New Roman" w:eastAsia="Times New Roman"/>
          <w:sz w:val="26"/>
        </w:rPr>
        <w:t>. Trang chủ công khai của cô Nguyễn Thị Hà (gói Miễn phí) — bộ nhận diện tông xanh dương dựng từ mẫu có sẵn cho môn Toán Tiểu học</w:t>
      </w:r>
    </w:p>
    <w:p>
      <w:pPr>
        <w:spacing w:line="288" w:lineRule="auto"/>
        <w:ind w:firstLine="567"/>
        <w:jc w:val="both"/>
      </w:pPr>
      <w:r>
        <w:rPr>
          <w:rFonts w:ascii="Times New Roman" w:hAnsi="Times New Roman" w:eastAsia="Times New Roman"/>
          <w:b w:val="0"/>
          <w:i/>
          <w:sz w:val="26"/>
        </w:rPr>
        <w:t>Nguồn: ảnh chụp giao diện nền tảng KiteClass, truy cập 30/05/2026</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spacing w:before="120" w:after="60"/>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nhi-homepage-green-branded.png"/>
                    <pic:cNvPicPr/>
                  </pic:nvPicPr>
                  <pic:blipFill>
                    <a:blip r:embed="rId3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4.4</w:t>
      </w:r>
      <w:r>
        <w:rPr>
          <w:rFonts w:ascii="Times New Roman" w:hAnsi="Times New Roman" w:eastAsia="Times New Roman"/>
          <w:sz w:val="26"/>
        </w:rPr>
        <w:t>. Trang chủ công khai của thầy Nguyễn Đình Nhì (gói Trả phí) — bộ nhận diện tông xanh lá sinh tự động qua AI Branding cho môn Hóa học THCS, tương phản với mẫu dựng sẵn của gói Miễn phí (Hình 4.3)</w:t>
      </w:r>
    </w:p>
    <w:p>
      <w:pPr>
        <w:spacing w:line="288" w:lineRule="auto"/>
        <w:ind w:firstLine="567"/>
        <w:jc w:val="both"/>
      </w:pPr>
      <w:r>
        <w:rPr>
          <w:rFonts w:ascii="Times New Roman" w:hAnsi="Times New Roman" w:eastAsia="Times New Roman"/>
          <w:b w:val="0"/>
          <w:i/>
          <w:sz w:val="26"/>
        </w:rPr>
        <w:t>Nguồn: ảnh chụp giao diện nền tảng KiteClass, truy cập 30/05/2026</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43"/>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header" Target="header3.xml"/><Relationship Id="rId43"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