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367600" cy="7408799"/>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5367600" cy="7408799"/>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2905200" cy="5616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2905200" cy="5616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2944800" cy="2473200"/>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2944800" cy="24732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4323600" cy="51588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4323600" cy="51588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gồm thẻ chào mừng kèm các thao tác nhanh (thêm học sinh, thêm giáo viên, tạo khóa học) và bốn thẻ chỉ số tổng quan — Tổng học viên, Giáo viên, Khóa học và Lớp học —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277600" cy="32976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277600" cy="32976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1677600" cy="29988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1677600" cy="29988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468400" cy="2667600"/>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468400" cy="26676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410800" cy="2772000"/>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410800" cy="2772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Ước tính chi phí hạ tầng AWS hàng tháng theo Free Tier (khu vực ap-southeast-1)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pStyle w:val="BảngCaption"/>
        <w:spacing w:before="120" w:after="240"/>
        <w:jc w:val="center"/>
      </w:pPr>
      <w:r>
        <w:rPr>
          <w:rFonts w:ascii="Times New Roman" w:hAnsi="Times New Roman" w:eastAsia="Times New Roman"/>
          <w:b/>
          <w:sz w:val="26"/>
        </w:rPr>
        <w:t>Bảng 4.2</w:t>
      </w:r>
      <w:r>
        <w:rPr>
          <w:rFonts w:ascii="Times New Roman" w:hAnsi="Times New Roman" w:eastAsia="Times New Roman"/>
          <w:sz w:val="26"/>
        </w:rPr>
        <w:t>. Các bản ghi DNS chính trên Cloudflare cho tên miền `kitehub.me`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4.3</w:t>
      </w:r>
      <w:r>
        <w:rPr>
          <w:rFonts w:ascii="Times New Roman" w:hAnsi="Times New Roman" w:eastAsia="Times New Roman"/>
          <w:sz w:val="26"/>
        </w:rPr>
        <w:t>. Trang chủ công khai của cô Nguyễn Thị Hà (gói Miễn phí) — bộ nhận diện tông xanh dương dựng từ mẫu có sẵn cho môn Toán Tiểu học</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4.4</w:t>
      </w:r>
      <w:r>
        <w:rPr>
          <w:rFonts w:ascii="Times New Roman" w:hAnsi="Times New Roman" w:eastAsia="Times New Roman"/>
          <w:sz w:val="26"/>
        </w:rPr>
        <w:t>. Trang chủ công khai của thầy Nguyễn Đình Nhì (gói Trả phí) — bộ nhận diện tông xanh lá sinh tự động qua AI Branding cho môn Hóa học THCS, tương phản với mẫu dựng sẵn của gói Miễn phí (Hình 4.3)</w:t>
      </w:r>
    </w:p>
    <w:p>
      <w:pPr>
        <w:pStyle w:val="Heading3"/>
      </w:pPr>
      <w:r>
        <w:rPr>
          <w:rFonts w:ascii="Times New Roman" w:hAnsi="Times New Roman" w:eastAsia="Times New Roman"/>
          <w:b/>
          <w:color w:val="000000"/>
          <w:sz w:val="28"/>
        </w:rPr>
        <w:t>4.2.3 So sánh hai gói dịch vụ</w:t>
      </w:r>
    </w:p>
    <w:p>
      <w:pPr>
        <w:pStyle w:val="BảngCaption"/>
        <w:spacing w:before="120" w:after="240"/>
        <w:jc w:val="center"/>
      </w:pPr>
      <w:r>
        <w:rPr>
          <w:rFonts w:ascii="Times New Roman" w:hAnsi="Times New Roman" w:eastAsia="Times New Roman"/>
          <w:b/>
          <w:sz w:val="26"/>
        </w:rPr>
        <w:t>Bảng 4.3</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