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5"/>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để em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em có đủ năng lực và sự tự tin thực hiện đề tài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Pr>
        <w:keepNext/>
        <w:spacing w:after="0"/>
        <w:jc w:val="right"/>
      </w:pPr>
      <w:r>
        <w:rPr>
          <w:rFonts w:ascii="Times New Roman" w:hAnsi="Times New Roman" w:eastAsia="Times New Roman"/>
          <w:b w:val="0"/>
          <w:i/>
          <w:sz w:val="26"/>
        </w:rPr>
        <w:t>Hà Nội, ngày … tháng … năm 2026</w:t>
      </w:r>
    </w:p>
    <w:p>
      <w:pPr>
        <w:keepNext/>
        <w:spacing w:after="0"/>
        <w:jc w:val="right"/>
      </w:pPr>
      <w:r>
        <w:rPr>
          <w:rFonts w:ascii="Times New Roman" w:hAnsi="Times New Roman" w:eastAsia="Times New Roman"/>
          <w:b/>
          <w:i w:val="0"/>
          <w:sz w:val="26"/>
        </w:rPr>
        <w:t>Sinh viên thực hiện</w:t>
      </w:r>
    </w:p>
    <w:p/>
    <w:p>
      <w:pPr>
        <w:keepNext w:val="0"/>
        <w:jc w:val="right"/>
      </w:pPr>
      <w:r>
        <w:rPr>
          <w:rFonts w:ascii="Times New Roman" w:hAnsi="Times New Roman" w:eastAsia="Times New Roman"/>
          <w:b/>
          <w:i w:val="0"/>
          <w:sz w:val="26"/>
        </w:rPr>
        <w:t>Nguyễn Văn Kiệt</w:t>
      </w:r>
    </w:p>
    <w:p>
      <w:pPr>
        <w:sectPr>
          <w:headerReference w:type="default" r:id="rId36"/>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7"/>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thử nghiệm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thử nghiệm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thử nghiệm.</w:t>
      </w:r>
    </w:p>
    <w:p>
      <w:pPr>
        <w:spacing w:line="288" w:lineRule="auto"/>
        <w:ind w:firstLine="567"/>
        <w:jc w:val="both"/>
      </w:pPr>
      <w:r>
        <w:rPr>
          <w:rFonts w:ascii="Times New Roman" w:hAnsi="Times New Roman" w:eastAsia="Times New Roman"/>
          <w:b w:val="0"/>
          <w:i w:val="0"/>
          <w:sz w:val="26"/>
        </w:rPr>
        <w:t>Phạm vi nghiên cứu của đề tài tập trung vào giai đoạn thử nghiệm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[18], Nghị định 53/2022/NĐ-CP [11], Thông tư 78/2021/TT-BTC [20],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[21], Beck TDD [16], Poppendieck Lean [22], IEEE 730-2014 SQA [23], OWASP Top 10 [19]); và tài liệu kỹ thuật của các sản phẩm tham khảo (MISA AMIS [5], Mona eLMS [6], Easy Edu [7], DotB [8]).</w:t>
      </w:r>
    </w:p>
    <w:p>
      <w:pPr>
        <w:pStyle w:val="Heading2"/>
      </w:pPr>
      <w:r>
        <w:rPr>
          <w:rFonts w:ascii="Times New Roman" w:hAnsi="Times New Roman" w:eastAsia="Times New Roman"/>
          <w:b/>
          <w:color w:val="000000"/>
          <w:sz w:val="32"/>
        </w:rPr>
        <w:t>1.2 Bài toán</w:t>
      </w:r>
    </w:p>
    <w:p>
      <w:pPr>
        <w:pStyle w:val="Heading3"/>
      </w:pPr>
      <w:r>
        <w:rPr>
          <w:rFonts w:ascii="Times New Roman" w:hAnsi="Times New Roman" w:eastAsia="Times New Roman"/>
          <w:b/>
          <w:color w:val="000000"/>
          <w:sz w:val="28"/>
        </w:rPr>
        <w:t>1.2.1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1.2.2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sản phẩm MISA EMIS — sản phẩm B2B phục vụ trường công lập của công ty MISA</w:t>
      </w:r>
    </w:p>
    <w:p>
      <w:pPr>
        <w:spacing w:line="288" w:lineRule="auto"/>
        <w:ind w:firstLine="567"/>
        <w:jc w:val="both"/>
      </w:pP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1.2.4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1.5</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1.2.9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1.2.10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1.2.11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7" name="Picture 7"/>
            <wp:cNvGraphicFramePr>
              <a:graphicFrameLocks noChangeAspect="1"/>
            </wp:cNvGraphicFramePr>
            <a:graphic>
              <a:graphicData uri="http://schemas.openxmlformats.org/drawingml/2006/picture">
                <pic:pic>
                  <pic:nvPicPr>
                    <pic:cNvPr id="0" name="mermaid-973d5e0c88ffff67.png"/>
                    <pic:cNvPicPr/>
                  </pic:nvPicPr>
                  <pic:blipFill>
                    <a:blip r:embed="rId15"/>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pageBreakBefore/>
        <w:spacing w:before="120" w:after="120"/>
        <w:jc w:val="center"/>
      </w:pPr>
      <w:r>
        <w:drawing>
          <wp:inline xmlns:a="http://schemas.openxmlformats.org/drawingml/2006/main" xmlns:pic="http://schemas.openxmlformats.org/drawingml/2006/picture">
            <wp:extent cx="5760000" cy="6201005"/>
            <wp:docPr id="8" name="Picture 8"/>
            <wp:cNvGraphicFramePr>
              <a:graphicFrameLocks noChangeAspect="1"/>
            </wp:cNvGraphicFramePr>
            <a:graphic>
              <a:graphicData uri="http://schemas.openxmlformats.org/drawingml/2006/picture">
                <pic:pic>
                  <pic:nvPicPr>
                    <pic:cNvPr id="0" name="mermaid-8421f8361e01c736.png"/>
                    <pic:cNvPicPr/>
                  </pic:nvPicPr>
                  <pic:blipFill>
                    <a:blip r:embed="rId16"/>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pageBreakBefore/>
        <w:spacing w:before="120" w:after="120"/>
        <w:jc w:val="center"/>
      </w:pPr>
      <w:r>
        <w:drawing>
          <wp:inline xmlns:a="http://schemas.openxmlformats.org/drawingml/2006/main" xmlns:pic="http://schemas.openxmlformats.org/drawingml/2006/picture">
            <wp:extent cx="4692413" cy="648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10" name="Picture 10"/>
            <wp:cNvGraphicFramePr>
              <a:graphicFrameLocks noChangeAspect="1"/>
            </wp:cNvGraphicFramePr>
            <a:graphic>
              <a:graphicData uri="http://schemas.openxmlformats.org/drawingml/2006/picture">
                <pic:pic>
                  <pic:nvPicPr>
                    <pic:cNvPr id="0" name="mermaid-937a5ae77a6cbd8c.png"/>
                    <pic:cNvPicPr/>
                  </pic:nvPicPr>
                  <pic:blipFill>
                    <a:blip r:embed="rId18"/>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1" name="Picture 11"/>
            <wp:cNvGraphicFramePr>
              <a:graphicFrameLocks noChangeAspect="1"/>
            </wp:cNvGraphicFramePr>
            <a:graphic>
              <a:graphicData uri="http://schemas.openxmlformats.org/drawingml/2006/picture">
                <pic:pic>
                  <pic:nvPicPr>
                    <pic:cNvPr id="0" name="mermaid-3352d2cdf91ac76b.png"/>
                    <pic:cNvPicPr/>
                  </pic:nvPicPr>
                  <pic:blipFill>
                    <a:blip r:embed="rId19"/>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pageBreakBefore/>
        <w:spacing w:before="120" w:after="120"/>
        <w:jc w:val="center"/>
      </w:pPr>
      <w:r>
        <w:drawing>
          <wp:inline xmlns:a="http://schemas.openxmlformats.org/drawingml/2006/main" xmlns:pic="http://schemas.openxmlformats.org/drawingml/2006/picture">
            <wp:extent cx="3492050" cy="6480000"/>
            <wp:docPr id="12" name="Picture 12"/>
            <wp:cNvGraphicFramePr>
              <a:graphicFrameLocks noChangeAspect="1"/>
            </wp:cNvGraphicFramePr>
            <a:graphic>
              <a:graphicData uri="http://schemas.openxmlformats.org/drawingml/2006/picture">
                <pic:pic>
                  <pic:nvPicPr>
                    <pic:cNvPr id="0" name="mermaid-cfe5ec891d00c4b9.png"/>
                    <pic:cNvPicPr/>
                  </pic:nvPicPr>
                  <pic:blipFill>
                    <a:blip r:embed="rId20"/>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3" name="Picture 13"/>
            <wp:cNvGraphicFramePr>
              <a:graphicFrameLocks noChangeAspect="1"/>
            </wp:cNvGraphicFramePr>
            <a:graphic>
              <a:graphicData uri="http://schemas.openxmlformats.org/drawingml/2006/picture">
                <pic:pic>
                  <pic:nvPicPr>
                    <pic:cNvPr id="0" name="mermaid-f005980df8c8a241.png"/>
                    <pic:cNvPicPr/>
                  </pic:nvPicPr>
                  <pic:blipFill>
                    <a:blip r:embed="rId21"/>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760000" cy="3054927"/>
            <wp:docPr id="14" name="Picture 14"/>
            <wp:cNvGraphicFramePr>
              <a:graphicFrameLocks noChangeAspect="1"/>
            </wp:cNvGraphicFramePr>
            <a:graphic>
              <a:graphicData uri="http://schemas.openxmlformats.org/drawingml/2006/picture">
                <pic:pic>
                  <pic:nvPicPr>
                    <pic:cNvPr id="0" name="mermaid-72c9a05164b81419.png"/>
                    <pic:cNvPicPr/>
                  </pic:nvPicPr>
                  <pic:blipFill>
                    <a:blip r:embed="rId22"/>
                    <a:stretch>
                      <a:fillRect/>
                    </a:stretch>
                  </pic:blipFill>
                  <pic:spPr>
                    <a:xfrm>
                      <a:off x="0" y="0"/>
                      <a:ext cx="5760000" cy="3054927"/>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2.7</w:t>
      </w:r>
      <w:r>
        <w:rPr>
          <w:rFonts w:ascii="Times New Roman" w:hAnsi="Times New Roman" w:eastAsia="Times New Roman"/>
          <w:sz w:val="26"/>
        </w:rPr>
        <w:t>. Sequence diagram — luồng cấp phát tenant thử nghiệm</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pageBreakBefore/>
        <w:spacing w:before="120" w:after="120"/>
        <w:jc w:val="center"/>
      </w:pPr>
      <w:r>
        <w:drawing>
          <wp:inline xmlns:a="http://schemas.openxmlformats.org/drawingml/2006/main" xmlns:pic="http://schemas.openxmlformats.org/drawingml/2006/picture">
            <wp:extent cx="5188811" cy="6480000"/>
            <wp:docPr id="15" name="Picture 15"/>
            <wp:cNvGraphicFramePr>
              <a:graphicFrameLocks noChangeAspect="1"/>
            </wp:cNvGraphicFramePr>
            <a:graphic>
              <a:graphicData uri="http://schemas.openxmlformats.org/drawingml/2006/picture">
                <pic:pic>
                  <pic:nvPicPr>
                    <pic:cNvPr id="0" name="mermaid-3e2649c3cbb965e5.png"/>
                    <pic:cNvPicPr/>
                  </pic:nvPicPr>
                  <pic:blipFill>
                    <a:blip r:embed="rId23"/>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spacing w:before="120" w:after="60"/>
        <w:jc w:val="center"/>
      </w:pPr>
      <w:r>
        <w:drawing>
          <wp:inline xmlns:a="http://schemas.openxmlformats.org/drawingml/2006/main" xmlns:pic="http://schemas.openxmlformats.org/drawingml/2006/picture">
            <wp:extent cx="5760000" cy="3600000"/>
            <wp:docPr id="16" name="Picture 16"/>
            <wp:cNvGraphicFramePr>
              <a:graphicFrameLocks noChangeAspect="1"/>
            </wp:cNvGraphicFramePr>
            <a:graphic>
              <a:graphicData uri="http://schemas.openxmlformats.org/drawingml/2006/picture">
                <pic:pic>
                  <pic:nvPicPr>
                    <pic:cNvPr id="0" name="01-marketing-landing.png"/>
                    <pic:cNvPicPr/>
                  </pic:nvPicPr>
                  <pic:blipFill>
                    <a:blip r:embed="rId24"/>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7" name="Picture 17"/>
            <wp:cNvGraphicFramePr>
              <a:graphicFrameLocks noChangeAspect="1"/>
            </wp:cNvGraphicFramePr>
            <a:graphic>
              <a:graphicData uri="http://schemas.openxmlformats.org/drawingml/2006/picture">
                <pic:pic>
                  <pic:nvPicPr>
                    <pic:cNvPr id="0" name="02-signup-wizard-step1.png"/>
                    <pic:cNvPicPr/>
                  </pic:nvPicPr>
                  <pic:blipFill>
                    <a:blip r:embed="rId25"/>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8" name="Picture 18"/>
            <wp:cNvGraphicFramePr>
              <a:graphicFrameLocks noChangeAspect="1"/>
            </wp:cNvGraphicFramePr>
            <a:graphic>
              <a:graphicData uri="http://schemas.openxmlformats.org/drawingml/2006/picture">
                <pic:pic>
                  <pic:nvPicPr>
                    <pic:cNvPr id="0" name="04-tenant-provisioning-success.png"/>
                    <pic:cNvPicPr/>
                  </pic:nvPicPr>
                  <pic:blipFill>
                    <a:blip r:embed="rId26"/>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9" name="Picture 19"/>
            <wp:cNvGraphicFramePr>
              <a:graphicFrameLocks noChangeAspect="1"/>
            </wp:cNvGraphicFramePr>
            <a:graphic>
              <a:graphicData uri="http://schemas.openxmlformats.org/drawingml/2006/picture">
                <pic:pic>
                  <pic:nvPicPr>
                    <pic:cNvPr id="0" name="03-owner-dashboard-first-login.png"/>
                    <pic:cNvPicPr/>
                  </pic:nvPicPr>
                  <pic:blipFill>
                    <a:blip r:embed="rId27"/>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bốn bước nối tiếp từ trang chủ marketing đến dashboard sau đăng nhập đầu tiên</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khám phá và kích hoạt tenant đưa anonymous prospect từ điểm tiếp xúc đầu tiên đến trạng thái vận hành đầy đủ thông qua bốn bước nối tiếp. Bước (a) trang chủ marketing đóng vai trò "first impression" với layout 3-fold gồm hero section "Nền tảng quản lý trung tâm dạy thêm" cùng ba giá trị cốt lõi (Multi-tenant isolation, AI Branding, Bộ tính năng quản lý lớp đầy đủ) và CTA chính "Yêu cầu truy cập Beta"; toàn bộ tone tiếng Việt formal-friendly với sample data Việt Nam (Trung tâm Anh ngữ Sky Education tên giả định, Lớp Anh ngữ 5A1). Bước (b) Wizard đăng ký yêu cầu 4 trường tối thiểu (họ tên, email, tên trung tâm dự kiến, quy mô) không yêu cầu mật khẩu — admin nền tảng review request và gửi claim code 6 chữ số qua email; form validation client-side bằng React Hook Form + Zod và server-side bổ sung honeypot field chống bot với rate-limit 24 giờ per email. Bước (c) sau khi người dùng exchange claim code thành công, hệ thống tạo tenant mới với atomic transaction (INSERT tenant + INSERT user + UPDATE beta_request status — chi tiết tại Chương 4), cấp subdomain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Bước (d) lần đăng nhập đầu tiên hiển thị ba thành phần chính cho Chủ trung tâm: 3 KPI card ("Doanh thu tháng", "Số học sinh", "Số lớp"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onboarding checklist 5 bước (Tạo lớp đầu tiên / Thêm học sinh / Tạo lịch học / Cấu hình thanh toán / Mời giáo viên đồng nghiệp), và sample data toggle cho phép load dữ liệu mẫu (giáo viên giả định Trần Thị Hồng + 4 học sinh + 1 lớp Anh ngữ 5A1);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3.2.2 Luồng vận hành nghiệp vụ thường nhật (Chủ trung tâm / Manager)</w:t>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05-class-management.png"/>
                    <pic:cNvPicPr/>
                  </pic:nvPicPr>
                  <pic:blipFill>
                    <a:blip r:embed="rId28"/>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6-invoice-generation.png"/>
                    <pic:cNvPicPr/>
                  </pic:nvPicPr>
                  <pic:blipFill>
                    <a:blip r:embed="rId29"/>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Luồng vận hành nghiệp vụ thường nhật gồm giao diện quản lý lớp học và giao diện tạo hóa đơn với định dạng VND</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vận hành nghiệp vụ thường nhật bao gồm hai chức năng cốt lõi mà Chủ trung tâm và Manager sử dụng hằng ngày sau khi tenant đã kích hoạt. Bước (a) giao diện quản lý lớp học hiển thị danh sách toàn bộ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Giáo viên chủ nhiệm, Số học sinh, Lịch học, Trạng thái (Đang hoạt động / Tạm nghỉ / Đã kết thúc) và Hành động (Xem chi tiết / Sửa / Lưu trữ); bảng hỗ trợ filter combo theo trạng thái, giáo viên và môn học cùng search theo tên hoặc mã lớp, trong khi bulk actions cho phép chọn nhiều lớp để gửi thông báo Zalo group hoặc export Excel danh sách điểm danh, và CTA "Tạo lớp mới" mở wizard 4 bước (thông tin cơ bản → lịch học Mon-Sat theo VN edu convention → danh sách học sinh → cấu hình học phí). Bước (b) form tạo hóa đơn cho phép Chủ trung tâm hoặc Manager tạo hóa đơn cá nhân hoặc batch theo lớp với layout 2 cột — cột trái nhập học sinh, lớp, tháng/kỳ học, học phí gốc, giảm giá, phụ thu và hạn thanh toán; cột phải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cùng QR code VietQR để học sinh quét chuyển khoản trực tiếp qua Vietcombank, Techcombank hoặc MB merchant code; sau khi tạo hóa đơn được gửi qua ba kênh đồng thời (email PDF cho phụ huynh, link Zalo group cha mẹ, và lưu trong tài khoản học sinh trên dashboard). Trong giai đoạn thử nghiệm, payment gateway integration (Stripe, MoMo, VNPay) hoãn sang giai đoạn thương mại hóa do yêu cầu giấy phép PSP, do đó tenant đối soát thủ công qua chuyển khoản ngân hàng.</w:t>
      </w:r>
    </w:p>
    <w:p>
      <w:pPr>
        <w:pStyle w:val="Heading3"/>
      </w:pPr>
      <w:r>
        <w:rPr>
          <w:rFonts w:ascii="Times New Roman" w:hAnsi="Times New Roman" w:eastAsia="Times New Roman"/>
          <w:b/>
          <w:color w:val="000000"/>
          <w:sz w:val="28"/>
        </w:rPr>
        <w:t>3.2.3 Luồng điều hành Admin nền tảng (Platform Admin)</w:t>
      </w:r>
    </w:p>
    <w:p>
      <w:pPr>
        <w:spacing w:before="120" w:after="60"/>
        <w:jc w:val="center"/>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07-welcome-email.png"/>
                    <pic:cNvPicPr/>
                  </pic:nvPicPr>
                  <pic:blipFill>
                    <a:blip r:embed="rId30"/>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3" name="Picture 23"/>
            <wp:cNvGraphicFramePr>
              <a:graphicFrameLocks noChangeAspect="1"/>
            </wp:cNvGraphicFramePr>
            <a:graphic>
              <a:graphicData uri="http://schemas.openxmlformats.org/drawingml/2006/picture">
                <pic:pic>
                  <pic:nvPicPr>
                    <pic:cNvPr id="0" name="08-admin-audit-log.png"/>
                    <pic:cNvPicPr/>
                  </pic:nvPicPr>
                  <pic:blipFill>
                    <a:blip r:embed="rId3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Luồng điều hành Admin nền tảng với preview template email và trang audit log immutable tuân thủ PDPL Article 11</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Luồng điều hành Admin nền tảng bao gồm hai công cụ chính phục vụ vận hành giai đoạn thử nghiệm. Bước (a) giao diện preview template email cho phép Admin xem trước email trước khi gửi cho tenant với layout 2 cột — cột trái input các biến (tên người nhận, tên trung tâm, claim code, link kích hoạt, deadline kích hoạt), cột phải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và email body bao gồm ba phần (lời mời sử dụng, hướng dẫn nhập claim code, CTA "Kích hoạt tài khoản ngay") cùng footer minh bạch về giai đoạn thử nghiệm khép kín 20 tenant; nút "Gửi thử cho admin" cho phép Admin test email rendering trước khi phát hành chính thức, và email được sign DKIM + SPF + DMARC qua AWS SES kết hợp Cloudflare DNS records để đảm bảo deliverability cao. Bước (b) trang audit log hiển thị toàn bộ hành động sensitive của Admin nền tảng dưới dạng bảng immutable — chỉ cho phép INSERT và cấm UPDATE/DELETE thông qua database trigger nhằm đảm bảo tamper-proof theo PDPL 2023 Article 11; các cột bao gồm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APPROVE_TENANT_REQUEST</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hoặc Yêu cầu mở tenant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và Chi tiết JSON expandable; filter combo cho phép tìm theo loại hành động, admin user và khoảng thời gian, top banner notify compliance "Trang này được bảo vệ bởi PDPL Article 11 — mọi hành động admin được lưu vĩnh viễn và không thể chỉnh sửa", retention 5 năm theo PDPL Art 11.2 và hỗ trợ export CSV/PDF cho compliance audit định kỳ hằng quý.</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Tám giao diện được nhóm thành ba luồng nghiệp vụ trên đại diện cho happy path của hai persona target P1 và P2 trong giai đoạn thử nghiệm. Các giao diện sau chưa được trình bày trong phiên bản này do thuộc scope giai đoạn tiếp theo hoặc do giới hạn không gian báo cáo: giao diện admin xử lý chargeback (giai đoạn thương mại hóa khi tích hợp payment gateway), giao diện parent portal (giai đoạn vận hành chính thức — P4 persona), giao diện mobile app native (sau giai đoạn thương mại hóa — chưa triển khai), và giao diện K-12 transcript management (giai đoạn vận hành chính thức — P5 persona).</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pageBreakBefore/>
        <w:spacing w:before="120" w:after="120"/>
        <w:jc w:val="center"/>
      </w:pPr>
      <w:r>
        <w:drawing>
          <wp:inline xmlns:a="http://schemas.openxmlformats.org/drawingml/2006/main" xmlns:pic="http://schemas.openxmlformats.org/drawingml/2006/picture">
            <wp:extent cx="3620404" cy="6480000"/>
            <wp:docPr id="24" name="Picture 24"/>
            <wp:cNvGraphicFramePr>
              <a:graphicFrameLocks noChangeAspect="1"/>
            </wp:cNvGraphicFramePr>
            <a:graphic>
              <a:graphicData uri="http://schemas.openxmlformats.org/drawingml/2006/picture">
                <pic:pic>
                  <pic:nvPicPr>
                    <pic:cNvPr id="0" name="mermaid-f91993f073a5141c.png"/>
                    <pic:cNvPicPr/>
                  </pic:nvPicPr>
                  <pic:blipFill>
                    <a:blip r:embed="rId32"/>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pageBreakBefore/>
        <w:spacing w:before="120" w:after="120"/>
        <w:jc w:val="center"/>
      </w:pPr>
      <w:r>
        <w:drawing>
          <wp:inline xmlns:a="http://schemas.openxmlformats.org/drawingml/2006/main" xmlns:pic="http://schemas.openxmlformats.org/drawingml/2006/picture">
            <wp:extent cx="5760000" cy="5993370"/>
            <wp:docPr id="25" name="Picture 25"/>
            <wp:cNvGraphicFramePr>
              <a:graphicFrameLocks noChangeAspect="1"/>
            </wp:cNvGraphicFramePr>
            <a:graphic>
              <a:graphicData uri="http://schemas.openxmlformats.org/drawingml/2006/picture">
                <pic:pic>
                  <pic:nvPicPr>
                    <pic:cNvPr id="0" name="mermaid-f21dd78d7a1e3f4c.png"/>
                    <pic:cNvPicPr/>
                  </pic:nvPicPr>
                  <pic:blipFill>
                    <a:blip r:embed="rId33"/>
                    <a:stretch>
                      <a:fillRect/>
                    </a:stretch>
                  </pic:blipFill>
                  <pic:spPr>
                    <a:xfrm>
                      <a:off x="0" y="0"/>
                      <a:ext cx="5760000" cy="599337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4.1</w:t>
      </w:r>
      <w:r>
        <w:rPr>
          <w:rFonts w:ascii="Times New Roman" w:hAnsi="Times New Roman" w:eastAsia="Times New Roman"/>
          <w:sz w:val="26"/>
        </w:rPr>
        <w:t>. Sơ đồ kiến trúc tổng thể KiteHub Platform trên AWS Singapore (giai đoạn thử nghiệm)</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457015"/>
            <wp:docPr id="26" name="Picture 26"/>
            <wp:cNvGraphicFramePr>
              <a:graphicFrameLocks noChangeAspect="1"/>
            </wp:cNvGraphicFramePr>
            <a:graphic>
              <a:graphicData uri="http://schemas.openxmlformats.org/drawingml/2006/picture">
                <pic:pic>
                  <pic:nvPicPr>
                    <pic:cNvPr id="0" name="mermaid-f8d8b85df02b0042.png"/>
                    <pic:cNvPicPr/>
                  </pic:nvPicPr>
                  <pic:blipFill>
                    <a:blip r:embed="rId34"/>
                    <a:stretch>
                      <a:fillRect/>
                    </a:stretch>
                  </pic:blipFill>
                  <pic:spPr>
                    <a:xfrm>
                      <a:off x="0" y="0"/>
                      <a:ext cx="5760000" cy="245701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4.2</w:t>
      </w:r>
      <w:r>
        <w:rPr>
          <w:rFonts w:ascii="Times New Roman" w:hAnsi="Times New Roman" w:eastAsia="Times New Roman"/>
          <w:sz w:val="26"/>
        </w:rPr>
        <w:t>. Sequence diagram CI/CD pipeline từ git push tới production deploy (rút gọn các bước chính)</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8"/>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header" Target="header1.xml"/><Relationship Id="rId36" Type="http://schemas.openxmlformats.org/officeDocument/2006/relationships/header" Target="header2.xml"/><Relationship Id="rId37" Type="http://schemas.openxmlformats.org/officeDocument/2006/relationships/header" Target="header3.xml"/><Relationship Id="rId38"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