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2"/>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Lean</w:t>
            </w:r>
          </w:p>
        </w:tc>
        <w:tc>
          <w:tcPr>
            <w:tcW w:type="dxa" w:w="7087"/>
          </w:tcPr>
          <w:p>
            <w:r>
              <w:rPr>
                <w:rFonts w:ascii="Times New Roman" w:hAnsi="Times New Roman" w:eastAsia="Times New Roman"/>
                <w:b w:val="0"/>
                <w:i w:val="0"/>
                <w:sz w:val="24"/>
              </w:rPr>
              <w:t>Lean Software Development — phát triển phần mềm tinh gọn (Poppendieck)</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3"/>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phục vụ nhóm trung tâm giáo dục thương mại tại Việt Nam (Hà Nội, TP. Hồ Chí Minh và các tỉnh lân cận). Về thời gian, phạm vi triển khai kéo dài từ tháng 5/2026 đến hết giai đoạn thử nghiệm tenant (~tháng 9/2026), với hai giáo viên độc lập (một dùng gói miễn phí, một dùng gói premium)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được hoãn sang giai đoạn mở rộng K-12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phát triển hướng kiểm thử (TDD — Test-Driven Development, per Beck 2002), thiết kế hướng miền (DDD — Domain-Driven Design, per Evans 2003), chu trình Plan-Do-Check-Act (PDCA, per Deming 1986) và tư duy tinh gọn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 Application Programming Interface —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(mô hình mô tả kiến trúc phần mềm bốn cấp Context-Container-Component-Code), kết hợp Use Case + Class + ERD (Entity-Relationship Diagram — sơ đồ thực thể-quan hệ)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truyền ngữ cảnh qua JWT — JSON Web Token, kiến trúc REST — Representational State Transfer — 3 tầng) được kiểm chứng qua unit test, integration test và E2E test. Thứ tư, đồ án trình bày kết quả triển khai thực tế trong giai đoạn thử nghiệm tenant kèm các KPI (Key Performance Indicator — chỉ số hiệu suất chính)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mô hình hóa C4 Context + Container, sơ đồ use case, kiến trúc đa tenant single-bucket với defense-in-depth năm lớp.</w:t>
      </w:r>
    </w:p>
    <w:p>
      <w:pPr>
        <w:pStyle w:val="ListBullet"/>
        <w:spacing w:line="288" w:lineRule="auto"/>
        <w:ind w:left="850" w:hanging="283"/>
      </w:pPr>
      <w:r>
        <w:rPr>
          <w:rFonts w:ascii="Times New Roman" w:hAnsi="Times New Roman" w:eastAsia="Times New Roman"/>
          <w:b w:val="0"/>
          <w:i w:val="0"/>
          <w:sz w:val="26"/>
        </w:rPr>
        <w:t>Chương 3 — Phân tích, thiết kế và triển khai hệ thống: triển khai giao diện sản phẩm, đoạn mã đại diện cho các luồng nghiệp vụ then chốt,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Đánh giá kết quả và Kết luận: triển khai cloud AWS giai đoạn thử nghiệm tenant, luồng onboarding người dùng, các KPI đo lường, phạm vi thử nghiệm và đề xuất hướng phát triển tiếp theo.</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Giai đoạn thử nghiệm hỗ trợ email; tích hợp Zalo OA cho phụ huynh là lộ trình giai đoạn vận hành chính thức.</w:t>
      </w:r>
    </w:p>
    <w:p>
      <w:pPr>
        <w:pStyle w:val="Heading3"/>
      </w:pPr>
      <w:r>
        <w:rPr>
          <w:rFonts w:ascii="Times New Roman" w:hAnsi="Times New Roman" w:eastAsia="Times New Roman"/>
          <w:b/>
          <w:color w:val="000000"/>
          <w:sz w:val="28"/>
        </w:rPr>
        <w:t>1.1.2 Phân tích nhóm người dùng đại diện giai đoạn thử nghiệm</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trong giai đoạn thử nghiệm và nhóm Zalo cho cập nhật thường xuyên ở giai đoạn vận hành chính thức;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và tích hợp Zalo ZNS sang các phiên bản sau có rủi ro mất khách so với Mona eLMS và Easy Edu vốn đã có ứng dụng gốc — giải pháp giảm thiểu là giao diện web đáp ứng kết hợp nhóm Zalo trong phiên bản đầu, ưu tiên ứng dụng gốc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hai giáo viên độc lập (một dùng gói miễn phí, một dùng gói trả phí), tập trung kiểm chứng trình hướng dẫn khởi tạo tenant, mô-đun AI Branding, kiến trúc đa tenant và ngưỡng tuân thủ pháp lý cơ bản; phạm vi triển khai trong giai đoạn này không thu phí và chấp nhận chính sách giảm thiểu chi phí hạ tầng. Giai đoạn thanh toán thử nghiệm mở rộng nhóm tenant thử nghiệm lên 30-50 trung tâm với chính sách thu phí giới thiệu thấp hơn giá niêm yết, mục đích chính là kiểm chứng mô hình giá, luồng khởi tạo chính thức và hệ thống thanh toán chuyển khoản kèm đối soát tự động; giai đoạn này tích hợp hóa đơn điện tử (eInvoice) qua hợp tác với nhà cung cấp được Tổng cục Thuế cấp phép. Giai đoạn vận hành chính thức mở cho mọi trung tâm tự đăng ký không qua quy trình mời, đi kèm thỏa thuận mức dịch vụ (SLA — Service Level Agreement) cam kết thời gian hoạt động ≥99,5% và bổ sung các kênh hỗ trợ (trò chuyện trực tuyến, kênh hỗ trợ Zalo OA), ứng dụng di động gốc cho học viên và phụ huynh, đa cổng thanh toán tích hợp. Giai đoạn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 bao gồm trình hướng dẫn khởi tạo cốt lõi, mô-đun AI Branding tự động, quản lý vòng đời tenant đầy đủ và tuân thủ pháp luật Việt Nam (PDPL, Luật An ninh mạng, ngưỡng hóa đơn điện tử). Các giai đoạn thanh toán thử nghiệm, vận hành chính thức và mở rộng sang khối K-12 được trình bày như lộ trình kỹ thuật nhưng không nằm trong phạm vi triển khai thực tế của đề tài. Việc tách giai đoạn này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giai đoạn thử nghiệm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6" name="Picture 6"/>
            <wp:cNvGraphicFramePr>
              <a:graphicFrameLocks noChangeAspect="1"/>
            </wp:cNvGraphicFramePr>
            <a:graphic>
              <a:graphicData uri="http://schemas.openxmlformats.org/drawingml/2006/picture">
                <pic:pic>
                  <pic:nvPicPr>
                    <pic:cNvPr id="0" name="mermaid-f5a7d770a853ce87.png"/>
                    <pic:cNvPicPr/>
                  </pic:nvPicPr>
                  <pic:blipFill>
                    <a:blip r:embed="rId14"/>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9" name="Picture 9"/>
            <wp:cNvGraphicFramePr>
              <a:graphicFrameLocks noChangeAspect="1"/>
            </wp:cNvGraphicFramePr>
            <a:graphic>
              <a:graphicData uri="http://schemas.openxmlformats.org/drawingml/2006/picture">
                <pic:pic>
                  <pic:nvPicPr>
                    <pic:cNvPr id="0" name="mermaid-937a5ae77a6cbd8c.png"/>
                    <pic:cNvPicPr/>
                  </pic:nvPicPr>
                  <pic:blipFill>
                    <a:blip r:embed="rId17"/>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0" name="Picture 10"/>
            <wp:cNvGraphicFramePr>
              <a:graphicFrameLocks noChangeAspect="1"/>
            </wp:cNvGraphicFramePr>
            <a:graphic>
              <a:graphicData uri="http://schemas.openxmlformats.org/drawingml/2006/picture">
                <pic:pic>
                  <pic:nvPicPr>
                    <pic:cNvPr id="0" name="mermaid-3352d2cdf91ac76b.png"/>
                    <pic:cNvPicPr/>
                  </pic:nvPicPr>
                  <pic:blipFill>
                    <a:blip r:embed="rId18"/>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line="288" w:lineRule="auto"/>
        <w:ind w:firstLine="567"/>
        <w:jc w:val="both"/>
      </w:pPr>
      <w:r>
        <w:rPr>
          <w:rFonts w:ascii="Times New Roman" w:hAnsi="Times New Roman" w:eastAsia="Times New Roman"/>
          <w:b w:val="0"/>
          <w:i w:val="0"/>
          <w:sz w:val="26"/>
        </w:rPr>
        <w:t>Hình 2.4c mô tả chuỗi định tuyến tổng thể từ trình duyệt đến dữ liệu landing của tenant.</w:t>
      </w:r>
    </w:p>
    <w:p>
      <w:pPr>
        <w:pageBreakBefore/>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spacing w:line="288" w:lineRule="auto"/>
        <w:ind w:firstLine="567"/>
        <w:jc w:val="both"/>
      </w:pPr>
      <w:r>
        <w:rPr>
          <w:rFonts w:ascii="Times New Roman" w:hAnsi="Times New Roman" w:eastAsia="Times New Roman"/>
          <w:b w:val="0"/>
          <w:i w:val="0"/>
          <w:sz w:val="26"/>
        </w:rPr>
        <w:t>Bảng 2.6 so sánh hai phương thức truy cập theo các tiêu chí cấp phát, DNS, chứng chỉ SSL và xác minh quyền sở hữu.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line="288" w:lineRule="auto"/>
        <w:ind w:firstLine="567"/>
        <w:jc w:val="both"/>
      </w:pPr>
      <w:r>
        <w:rPr>
          <w:rFonts w:ascii="Times New Roman" w:hAnsi="Times New Roman" w:eastAsia="Times New Roman"/>
          <w:b w:val="0"/>
          <w:i w:val="0"/>
          <w:sz w:val="26"/>
        </w:rPr>
        <w:t>Hình 2.4d trình bày tuần tự phân giải tenant theo subdomain, từ yêu cầu trình duyệt đến dữ liệu landing được lọc bởi RLS.</w:t>
      </w:r>
    </w:p>
    <w:p>
      <w:pPr>
        <w:spacing w:before="120" w:after="120"/>
        <w:jc w:val="center"/>
      </w:pPr>
      <w:r>
        <w:drawing>
          <wp:inline xmlns:a="http://schemas.openxmlformats.org/drawingml/2006/main" xmlns:pic="http://schemas.openxmlformats.org/drawingml/2006/picture">
            <wp:extent cx="5760000" cy="2264898"/>
            <wp:docPr id="12" name="Picture 12"/>
            <wp:cNvGraphicFramePr>
              <a:graphicFrameLocks noChangeAspect="1"/>
            </wp:cNvGraphicFramePr>
            <a:graphic>
              <a:graphicData uri="http://schemas.openxmlformats.org/drawingml/2006/picture">
                <pic:pic>
                  <pic:nvPicPr>
                    <pic:cNvPr id="0" name="mermaid-7dabbf6c19ae66fe.png"/>
                    <pic:cNvPicPr/>
                  </pic:nvPicPr>
                  <pic:blipFill>
                    <a:blip r:embed="rId20"/>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5" name="Picture 15"/>
            <wp:cNvGraphicFramePr>
              <a:graphicFrameLocks noChangeAspect="1"/>
            </wp:cNvGraphicFramePr>
            <a:graphic>
              <a:graphicData uri="http://schemas.openxmlformats.org/drawingml/2006/picture">
                <pic:pic>
                  <pic:nvPicPr>
                    <pic:cNvPr id="0" name="mermaid-c1c711fb26610c4d.png"/>
                    <pic:cNvPicPr/>
                  </pic:nvPicPr>
                  <pic:blipFill>
                    <a:blip r:embed="rId23"/>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6" name="Picture 16"/>
            <wp:cNvGraphicFramePr>
              <a:graphicFrameLocks noChangeAspect="1"/>
            </wp:cNvGraphicFramePr>
            <a:graphic>
              <a:graphicData uri="http://schemas.openxmlformats.org/drawingml/2006/picture">
                <pic:pic>
                  <pic:nvPicPr>
                    <pic:cNvPr id="0" name="mermaid-b7796a844892db44.png"/>
                    <pic:cNvPicPr/>
                  </pic:nvPicPr>
                  <pic:blipFill>
                    <a:blip r:embed="rId24"/>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domain-plane)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Trong giai đoạn thử nghiệm,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Trong giai đoạn thử nghiệm,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trong giai đoạn thử nghiệm: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giai đoạn tiếp theo gồm: cổng thông tin dành cho phụ huynh (nhóm người dùng đại diện P4), ứng dụng di động gốc (sau giai đoạn thương mại hóa),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18" name="Picture 18"/>
            <wp:cNvGraphicFramePr>
              <a:graphicFrameLocks noChangeAspect="1"/>
            </wp:cNvGraphicFramePr>
            <a:graphic>
              <a:graphicData uri="http://schemas.openxmlformats.org/drawingml/2006/picture">
                <pic:pic>
                  <pic:nvPicPr>
                    <pic:cNvPr id="0" name="mermaid-f91993f073a5141c.png"/>
                    <pic:cNvPicPr/>
                  </pic:nvPicPr>
                  <pic:blipFill>
                    <a:blip r:embed="rId26"/>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3265856" cy="6480000"/>
            <wp:docPr id="19" name="Picture 19"/>
            <wp:cNvGraphicFramePr>
              <a:graphicFrameLocks noChangeAspect="1"/>
            </wp:cNvGraphicFramePr>
            <a:graphic>
              <a:graphicData uri="http://schemas.openxmlformats.org/drawingml/2006/picture">
                <pic:pic>
                  <pic:nvPicPr>
                    <pic:cNvPr id="0" name="plantuml-294497237df6674e.png"/>
                    <pic:cNvPicPr/>
                  </pic:nvPicPr>
                  <pic:blipFill>
                    <a:blip r:embed="rId27"/>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pageBreakBefore/>
        <w:spacing w:before="120" w:after="120"/>
        <w:jc w:val="center"/>
      </w:pPr>
      <w:r>
        <w:drawing>
          <wp:inline xmlns:a="http://schemas.openxmlformats.org/drawingml/2006/main" xmlns:pic="http://schemas.openxmlformats.org/drawingml/2006/picture">
            <wp:extent cx="5760000" cy="5782721"/>
            <wp:docPr id="20" name="Picture 20"/>
            <wp:cNvGraphicFramePr>
              <a:graphicFrameLocks noChangeAspect="1"/>
            </wp:cNvGraphicFramePr>
            <a:graphic>
              <a:graphicData uri="http://schemas.openxmlformats.org/drawingml/2006/picture">
                <pic:pic>
                  <pic:nvPicPr>
                    <pic:cNvPr id="0" name="plantuml-e506096e358f22e1.png"/>
                    <pic:cNvPicPr/>
                  </pic:nvPicPr>
                  <pic:blipFill>
                    <a:blip r:embed="rId28"/>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1" name="Picture 21"/>
            <wp:cNvGraphicFramePr>
              <a:graphicFrameLocks noChangeAspect="1"/>
            </wp:cNvGraphicFramePr>
            <a:graphic>
              <a:graphicData uri="http://schemas.openxmlformats.org/drawingml/2006/picture">
                <pic:pic>
                  <pic:nvPicPr>
                    <pic:cNvPr id="0" name="mermaid-32cf937050deb6cc.png"/>
                    <pic:cNvPicPr/>
                  </pic:nvPicPr>
                  <pic:blipFill>
                    <a:blip r:embed="rId29"/>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2" name="Picture 22"/>
            <wp:cNvGraphicFramePr>
              <a:graphicFrameLocks noChangeAspect="1"/>
            </wp:cNvGraphicFramePr>
            <a:graphic>
              <a:graphicData uri="http://schemas.openxmlformats.org/drawingml/2006/picture">
                <pic:pic>
                  <pic:nvPicPr>
                    <pic:cNvPr id="0" name="mermaid-4d19df8175f80777.png"/>
                    <pic:cNvPicPr/>
                  </pic:nvPicPr>
                  <pic:blipFill>
                    <a:blip r:embed="rId30"/>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spacing w:line="288" w:lineRule="auto"/>
        <w:ind w:firstLine="567"/>
        <w:jc w:val="both"/>
      </w:pPr>
      <w:r>
        <w:rPr>
          <w:rFonts w:ascii="Times New Roman" w:hAnsi="Times New Roman" w:eastAsia="Times New Roman"/>
          <w:b w:val="0"/>
          <w:i w:val="0"/>
          <w:sz w:val="26"/>
        </w:rPr>
        <w:t xml:space="preserve">Bảng 4.1 liệt kê các bản ghi DNS chính được cấu hình cho tên miền </w:t>
      </w:r>
      <w:r>
        <w:rPr>
          <w:rFonts w:ascii="Times New Roman" w:hAnsi="Times New Roman" w:eastAsia="Times New Roman"/>
          <w:b w:val="0"/>
          <w:i/>
          <w:sz w:val="26"/>
        </w:rPr>
        <w:t>kitehub.me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giai đoạn mời chính thức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ba nhóm người dùng (giáo viên độc lập, chủ sở hữu trung tâm, quản lý trung tâm); nhóm phụ huynh và học viên thuộc phân khúc K-12 được hoãn sang giai đoạn mở rộng K-12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giai đoạn thử nghiệm mới có hai giáo viên độc lập (một gói miễn phí, một gói premium)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4"/>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